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CE" w:rsidRPr="00316735" w:rsidRDefault="00E708CE" w:rsidP="00E708CE">
      <w:pPr>
        <w:rPr>
          <w:rFonts w:ascii="Arial Narrow" w:hAnsi="Arial Narrow"/>
          <w:b/>
          <w:szCs w:val="22"/>
        </w:rPr>
      </w:pPr>
      <w:r w:rsidRPr="00316735">
        <w:rPr>
          <w:rFonts w:ascii="Arial Narrow" w:hAnsi="Arial Narrow"/>
          <w:b/>
          <w:szCs w:val="22"/>
        </w:rPr>
        <w:t xml:space="preserve">ABM 1101 PRINCIPLES OF BUSINESS ECONOMICS 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</w:p>
    <w:p w:rsidR="00E708CE" w:rsidRPr="00316735" w:rsidRDefault="00E708CE" w:rsidP="00E708CE">
      <w:pPr>
        <w:rPr>
          <w:rFonts w:ascii="Arial Narrow" w:hAnsi="Arial Narrow"/>
          <w:szCs w:val="22"/>
        </w:rPr>
      </w:pPr>
      <w:r w:rsidRPr="00316735">
        <w:rPr>
          <w:rFonts w:ascii="Arial Narrow" w:hAnsi="Arial Narrow"/>
          <w:b/>
          <w:szCs w:val="22"/>
        </w:rPr>
        <w:t>INSTRUCTORS:</w:t>
      </w:r>
      <w:r w:rsidRPr="00316735">
        <w:rPr>
          <w:rFonts w:ascii="Arial Narrow" w:hAnsi="Arial Narrow"/>
          <w:b/>
          <w:szCs w:val="22"/>
        </w:rPr>
        <w:tab/>
      </w:r>
      <w:r w:rsidRPr="00316735">
        <w:rPr>
          <w:rFonts w:ascii="Arial Narrow" w:hAnsi="Arial Narrow"/>
          <w:szCs w:val="22"/>
        </w:rPr>
        <w:t xml:space="preserve"> Assoc. Prof. Bernard </w:t>
      </w:r>
      <w:proofErr w:type="spellStart"/>
      <w:r w:rsidRPr="00316735">
        <w:rPr>
          <w:rFonts w:ascii="Arial Narrow" w:hAnsi="Arial Narrow"/>
          <w:szCs w:val="22"/>
        </w:rPr>
        <w:t>Bashaasha</w:t>
      </w:r>
      <w:proofErr w:type="spellEnd"/>
      <w:r w:rsidRPr="00316735">
        <w:rPr>
          <w:rFonts w:ascii="Arial Narrow" w:hAnsi="Arial Narrow"/>
          <w:szCs w:val="22"/>
        </w:rPr>
        <w:t xml:space="preserve"> (B.Sc. Agric.; M.Sc. Agric.</w:t>
      </w:r>
      <w:proofErr w:type="gramStart"/>
      <w:r w:rsidRPr="00316735">
        <w:rPr>
          <w:rFonts w:ascii="Arial Narrow" w:hAnsi="Arial Narrow"/>
          <w:szCs w:val="22"/>
        </w:rPr>
        <w:t>;  M.A</w:t>
      </w:r>
      <w:proofErr w:type="gramEnd"/>
      <w:r w:rsidRPr="00316735">
        <w:rPr>
          <w:rFonts w:ascii="Arial Narrow" w:hAnsi="Arial Narrow"/>
          <w:szCs w:val="22"/>
        </w:rPr>
        <w:t xml:space="preserve"> Econ.; PhD)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  <w:proofErr w:type="spellStart"/>
      <w:r w:rsidRPr="00316735">
        <w:rPr>
          <w:rFonts w:ascii="Arial Narrow" w:hAnsi="Arial Narrow"/>
          <w:szCs w:val="22"/>
        </w:rPr>
        <w:t>Ms.</w:t>
      </w:r>
      <w:proofErr w:type="spellEnd"/>
      <w:r w:rsidRPr="00316735">
        <w:rPr>
          <w:rFonts w:ascii="Arial Narrow" w:hAnsi="Arial Narrow"/>
          <w:szCs w:val="22"/>
        </w:rPr>
        <w:t xml:space="preserve"> </w:t>
      </w:r>
      <w:proofErr w:type="spellStart"/>
      <w:r w:rsidRPr="00316735">
        <w:rPr>
          <w:rFonts w:ascii="Arial Narrow" w:hAnsi="Arial Narrow"/>
          <w:szCs w:val="22"/>
        </w:rPr>
        <w:t>Alobo</w:t>
      </w:r>
      <w:proofErr w:type="spellEnd"/>
      <w:r w:rsidRPr="00316735">
        <w:rPr>
          <w:rFonts w:ascii="Arial Narrow" w:hAnsi="Arial Narrow"/>
          <w:szCs w:val="22"/>
        </w:rPr>
        <w:t xml:space="preserve"> Sarah (B.Sc. Agric.; M.Sc. Agric. &amp; Applied Econ.)  (Teaching Assistant) 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</w:p>
    <w:p w:rsidR="00E708CE" w:rsidRDefault="00E708CE" w:rsidP="00E708CE">
      <w:pPr>
        <w:rPr>
          <w:rFonts w:ascii="Arial Narrow" w:hAnsi="Arial Narrow"/>
          <w:szCs w:val="22"/>
        </w:rPr>
      </w:pPr>
      <w:r w:rsidRPr="00316735">
        <w:rPr>
          <w:rFonts w:ascii="Arial Narrow" w:hAnsi="Arial Narrow"/>
          <w:b/>
          <w:szCs w:val="22"/>
        </w:rPr>
        <w:t>COURSE TYPE &amp; LOCATION</w:t>
      </w:r>
      <w:r w:rsidRPr="00316735">
        <w:rPr>
          <w:rFonts w:ascii="Arial Narrow" w:hAnsi="Arial Narrow"/>
          <w:szCs w:val="22"/>
        </w:rPr>
        <w:t>: Core for B.ABM. I; Faculty of Agriculture, Department of Agricultural Economics &amp; Agribusiness.</w:t>
      </w:r>
      <w:bookmarkStart w:id="0" w:name="_GoBack"/>
      <w:bookmarkEnd w:id="0"/>
    </w:p>
    <w:p w:rsidR="00E708CE" w:rsidRPr="00316735" w:rsidRDefault="00E708CE" w:rsidP="00E708CE">
      <w:pPr>
        <w:rPr>
          <w:rFonts w:ascii="Arial Narrow" w:hAnsi="Arial Narrow"/>
          <w:szCs w:val="22"/>
        </w:rPr>
      </w:pPr>
    </w:p>
    <w:p w:rsidR="00E708CE" w:rsidRPr="00316735" w:rsidRDefault="00E708CE" w:rsidP="00E708CE">
      <w:pPr>
        <w:rPr>
          <w:rFonts w:ascii="Arial Narrow" w:hAnsi="Arial Narrow"/>
          <w:b/>
          <w:szCs w:val="22"/>
        </w:rPr>
      </w:pPr>
      <w:r w:rsidRPr="00316735">
        <w:rPr>
          <w:rFonts w:ascii="Arial Narrow" w:hAnsi="Arial Narrow"/>
          <w:b/>
          <w:szCs w:val="22"/>
        </w:rPr>
        <w:t>COURSE STRUCTURE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  <w:r w:rsidRPr="00316735">
        <w:rPr>
          <w:rFonts w:ascii="Arial Narrow" w:hAnsi="Arial Narrow"/>
          <w:szCs w:val="22"/>
        </w:rPr>
        <w:t>3 Credit Units: 45 Contact Hours per semester; 30 lecture hours (2 contact hours per week for 15 study weeks) and 30 tutorial hours (1 contact hour per week for 15 study weeks)</w:t>
      </w:r>
    </w:p>
    <w:p w:rsidR="00E708CE" w:rsidRPr="00316735" w:rsidRDefault="00E708CE" w:rsidP="00E708CE">
      <w:pPr>
        <w:rPr>
          <w:rFonts w:ascii="Arial Narrow" w:hAnsi="Arial Narrow"/>
          <w:b/>
          <w:szCs w:val="22"/>
        </w:rPr>
      </w:pPr>
      <w:r w:rsidRPr="00316735">
        <w:rPr>
          <w:rFonts w:ascii="Arial Narrow" w:hAnsi="Arial Narrow"/>
          <w:b/>
          <w:szCs w:val="22"/>
        </w:rPr>
        <w:t>COURSE DESCRIPTION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  <w:r w:rsidRPr="00316735">
        <w:rPr>
          <w:rFonts w:ascii="Arial Narrow" w:hAnsi="Arial Narrow"/>
          <w:szCs w:val="22"/>
        </w:rPr>
        <w:t xml:space="preserve">Basic economic concepts; Price determination: demand and supply analysis; Elasticity; Levels of economic analysis: firms, market, national economy, international economy; Resource allocation in different economic systems; Types of business organizations; Business output, costs, revenue &amp; profit; Market structure &amp; conduct of business, small firms &amp; multinationals; Pricing factors of production; Consumer </w:t>
      </w:r>
      <w:r w:rsidR="00900608" w:rsidRPr="00316735">
        <w:rPr>
          <w:rFonts w:ascii="Arial Narrow" w:hAnsi="Arial Narrow"/>
          <w:szCs w:val="22"/>
        </w:rPr>
        <w:t>behaviour</w:t>
      </w:r>
      <w:r w:rsidRPr="00316735">
        <w:rPr>
          <w:rFonts w:ascii="Arial Narrow" w:hAnsi="Arial Narrow"/>
          <w:szCs w:val="22"/>
        </w:rPr>
        <w:t>; Utility maximization.</w:t>
      </w:r>
    </w:p>
    <w:p w:rsidR="00E708CE" w:rsidRPr="00316735" w:rsidRDefault="00E708CE" w:rsidP="00E708CE">
      <w:pPr>
        <w:rPr>
          <w:rFonts w:ascii="Arial Narrow" w:hAnsi="Arial Narrow"/>
          <w:szCs w:val="22"/>
        </w:rPr>
      </w:pPr>
    </w:p>
    <w:p w:rsidR="00E708CE" w:rsidRPr="00316735" w:rsidRDefault="00E708CE" w:rsidP="00E708CE">
      <w:pPr>
        <w:spacing w:before="0" w:after="0" w:line="240" w:lineRule="auto"/>
        <w:rPr>
          <w:rFonts w:ascii="Arial Narrow" w:hAnsi="Arial Narrow"/>
          <w:b/>
          <w:color w:val="000000"/>
          <w:szCs w:val="22"/>
        </w:rPr>
      </w:pPr>
      <w:r w:rsidRPr="00316735">
        <w:rPr>
          <w:rFonts w:ascii="Arial Narrow" w:hAnsi="Arial Narrow"/>
          <w:b/>
          <w:color w:val="000000"/>
          <w:szCs w:val="22"/>
        </w:rPr>
        <w:t>COURSE OBJECTIVES</w:t>
      </w:r>
    </w:p>
    <w:p w:rsidR="00E708CE" w:rsidRPr="00B35E8A" w:rsidRDefault="00E708CE" w:rsidP="00E708CE">
      <w:pPr>
        <w:spacing w:line="240" w:lineRule="auto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General</w:t>
      </w:r>
      <w:r w:rsidRPr="00B35E8A">
        <w:rPr>
          <w:rFonts w:ascii="Arial Narrow" w:hAnsi="Arial Narrow"/>
          <w:b/>
          <w:bCs/>
          <w:szCs w:val="22"/>
        </w:rPr>
        <w:t xml:space="preserve"> objective</w:t>
      </w:r>
      <w:r w:rsidRPr="00B35E8A">
        <w:rPr>
          <w:rFonts w:ascii="Arial Narrow" w:hAnsi="Arial Narrow"/>
          <w:b/>
          <w:szCs w:val="22"/>
        </w:rPr>
        <w:t xml:space="preserve"> </w:t>
      </w:r>
    </w:p>
    <w:p w:rsidR="00E708CE" w:rsidRPr="00B35E8A" w:rsidRDefault="00E708CE" w:rsidP="00E708CE">
      <w:pPr>
        <w:numPr>
          <w:ilvl w:val="0"/>
          <w:numId w:val="13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To introduce students to the basic principles of economics. This course is intended to give students an understanding of the economic way of thinking as an engine for </w:t>
      </w:r>
      <w:r w:rsidR="00900608" w:rsidRPr="00B35E8A">
        <w:rPr>
          <w:rFonts w:ascii="Arial Narrow" w:hAnsi="Arial Narrow"/>
          <w:szCs w:val="22"/>
        </w:rPr>
        <w:t>analysing</w:t>
      </w:r>
      <w:r w:rsidRPr="00B35E8A">
        <w:rPr>
          <w:rFonts w:ascii="Arial Narrow" w:hAnsi="Arial Narrow"/>
          <w:szCs w:val="22"/>
        </w:rPr>
        <w:t xml:space="preserve"> real world economic problems.</w:t>
      </w:r>
    </w:p>
    <w:p w:rsidR="00E708CE" w:rsidRPr="00316735" w:rsidRDefault="00E708CE" w:rsidP="00E708CE">
      <w:pPr>
        <w:spacing w:line="240" w:lineRule="auto"/>
        <w:rPr>
          <w:rFonts w:ascii="Arial Narrow" w:hAnsi="Arial Narrow"/>
          <w:b/>
          <w:szCs w:val="22"/>
        </w:rPr>
      </w:pPr>
      <w:r w:rsidRPr="00316735">
        <w:rPr>
          <w:rFonts w:ascii="Arial Narrow" w:hAnsi="Arial Narrow"/>
          <w:b/>
          <w:szCs w:val="22"/>
        </w:rPr>
        <w:t>S</w:t>
      </w:r>
      <w:r w:rsidRPr="00316735">
        <w:rPr>
          <w:rFonts w:ascii="Arial Narrow" w:hAnsi="Arial Narrow"/>
          <w:b/>
          <w:bCs/>
          <w:szCs w:val="22"/>
        </w:rPr>
        <w:t>pecific objectives</w:t>
      </w:r>
      <w:r w:rsidRPr="00316735">
        <w:rPr>
          <w:rFonts w:ascii="Arial Narrow" w:hAnsi="Arial Narrow"/>
          <w:b/>
          <w:szCs w:val="22"/>
        </w:rPr>
        <w:t xml:space="preserve"> </w:t>
      </w:r>
    </w:p>
    <w:p w:rsidR="00E708CE" w:rsidRPr="00B35E8A" w:rsidRDefault="00E708CE" w:rsidP="00E708CE">
      <w:pPr>
        <w:widowControl w:val="0"/>
        <w:numPr>
          <w:ilvl w:val="0"/>
          <w:numId w:val="13"/>
        </w:numPr>
        <w:suppressAutoHyphens/>
        <w:spacing w:before="0" w:after="0" w:line="240" w:lineRule="auto"/>
        <w:rPr>
          <w:rFonts w:ascii="Arial Narrow" w:hAnsi="Arial Narrow"/>
          <w:spacing w:val="-3"/>
          <w:szCs w:val="22"/>
        </w:rPr>
      </w:pPr>
      <w:r w:rsidRPr="00B35E8A">
        <w:rPr>
          <w:rFonts w:ascii="Arial Narrow" w:hAnsi="Arial Narrow"/>
          <w:szCs w:val="22"/>
        </w:rPr>
        <w:t>To provide the students with a general overview of basic principles in economic theory as a foundation for understanding follow-on courses in the subject.</w:t>
      </w:r>
    </w:p>
    <w:p w:rsidR="00E708CE" w:rsidRPr="00B35E8A" w:rsidRDefault="00E708CE" w:rsidP="00E708CE">
      <w:pPr>
        <w:widowControl w:val="0"/>
        <w:numPr>
          <w:ilvl w:val="0"/>
          <w:numId w:val="13"/>
        </w:numPr>
        <w:suppressAutoHyphens/>
        <w:spacing w:before="0" w:after="0" w:line="240" w:lineRule="auto"/>
        <w:rPr>
          <w:rFonts w:ascii="Arial Narrow" w:hAnsi="Arial Narrow"/>
          <w:spacing w:val="-3"/>
          <w:szCs w:val="22"/>
        </w:rPr>
      </w:pPr>
      <w:r w:rsidRPr="00B35E8A">
        <w:rPr>
          <w:rFonts w:ascii="Arial Narrow" w:hAnsi="Arial Narrow"/>
          <w:szCs w:val="22"/>
        </w:rPr>
        <w:t xml:space="preserve">To equip students with knowledge on basic economic tools and principles used in understanding and </w:t>
      </w:r>
      <w:r w:rsidR="00900608" w:rsidRPr="00B35E8A">
        <w:rPr>
          <w:rFonts w:ascii="Arial Narrow" w:hAnsi="Arial Narrow"/>
          <w:szCs w:val="22"/>
        </w:rPr>
        <w:t>analysing</w:t>
      </w:r>
      <w:r w:rsidRPr="00B35E8A">
        <w:rPr>
          <w:rFonts w:ascii="Arial Narrow" w:hAnsi="Arial Narrow"/>
          <w:szCs w:val="22"/>
        </w:rPr>
        <w:t xml:space="preserve"> real world economic problems.</w:t>
      </w:r>
    </w:p>
    <w:p w:rsidR="00E708CE" w:rsidRPr="00B35E8A" w:rsidRDefault="00E708CE" w:rsidP="00E708CE">
      <w:pPr>
        <w:spacing w:line="240" w:lineRule="auto"/>
        <w:rPr>
          <w:rFonts w:ascii="Arial Narrow" w:hAnsi="Arial Narrow"/>
          <w:b/>
          <w:bCs/>
          <w:color w:val="000000"/>
          <w:szCs w:val="22"/>
        </w:rPr>
      </w:pPr>
      <w:r w:rsidRPr="00B35E8A">
        <w:rPr>
          <w:rFonts w:ascii="Arial Narrow" w:hAnsi="Arial Narrow"/>
          <w:b/>
          <w:bCs/>
          <w:color w:val="000000"/>
          <w:szCs w:val="22"/>
        </w:rPr>
        <w:t xml:space="preserve">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/>
              <w:bCs/>
              <w:color w:val="000000"/>
              <w:szCs w:val="22"/>
            </w:rPr>
            <w:t>READING</w:t>
          </w:r>
        </w:smartTag>
      </w:smartTag>
    </w:p>
    <w:p w:rsidR="00E708CE" w:rsidRPr="00B35E8A" w:rsidRDefault="00E708CE" w:rsidP="00E708CE">
      <w:pPr>
        <w:numPr>
          <w:ilvl w:val="0"/>
          <w:numId w:val="1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R. Leroy-Miller (1997). Economics Today, 9</w:t>
      </w:r>
      <w:r w:rsidRPr="00B35E8A">
        <w:rPr>
          <w:rFonts w:ascii="Arial Narrow" w:hAnsi="Arial Narrow"/>
          <w:szCs w:val="22"/>
          <w:vertAlign w:val="superscript"/>
        </w:rPr>
        <w:t>th</w:t>
      </w:r>
      <w:r w:rsidRPr="00B35E8A">
        <w:rPr>
          <w:rFonts w:ascii="Arial Narrow" w:hAnsi="Arial Narrow"/>
          <w:szCs w:val="22"/>
        </w:rPr>
        <w:t xml:space="preserve"> Edition.  Addison Wesley Longman, Inc.</w:t>
      </w:r>
    </w:p>
    <w:p w:rsidR="00E708CE" w:rsidRPr="00B35E8A" w:rsidRDefault="00E708CE" w:rsidP="00E708CE">
      <w:pPr>
        <w:numPr>
          <w:ilvl w:val="0"/>
          <w:numId w:val="1"/>
        </w:numPr>
        <w:spacing w:before="0" w:after="0" w:line="240" w:lineRule="auto"/>
        <w:jc w:val="left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Tayebwa</w:t>
      </w:r>
      <w:proofErr w:type="spellEnd"/>
      <w:r w:rsidRPr="00B35E8A">
        <w:rPr>
          <w:rFonts w:ascii="Arial Narrow" w:hAnsi="Arial Narrow"/>
          <w:szCs w:val="22"/>
        </w:rPr>
        <w:t xml:space="preserve"> B. (1992).  Basic Economics. 2nd Edition, Simplified Textbooks Agency,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szCs w:val="22"/>
            </w:rPr>
            <w:t>Kampala</w:t>
          </w:r>
        </w:smartTag>
      </w:smartTag>
      <w:r w:rsidRPr="00B35E8A">
        <w:rPr>
          <w:rFonts w:ascii="Arial Narrow" w:hAnsi="Arial Narrow"/>
          <w:szCs w:val="22"/>
        </w:rPr>
        <w:t>.</w:t>
      </w:r>
    </w:p>
    <w:p w:rsidR="00E708CE" w:rsidRDefault="00E708CE" w:rsidP="00E708CE">
      <w:pPr>
        <w:spacing w:line="240" w:lineRule="auto"/>
        <w:rPr>
          <w:rFonts w:ascii="Arial Narrow" w:hAnsi="Arial Narrow"/>
          <w:b/>
          <w:color w:val="000000"/>
          <w:szCs w:val="22"/>
        </w:rPr>
      </w:pPr>
    </w:p>
    <w:p w:rsidR="00E708CE" w:rsidRPr="00B35E8A" w:rsidRDefault="00E708CE" w:rsidP="00E708CE">
      <w:pPr>
        <w:spacing w:line="240" w:lineRule="auto"/>
        <w:rPr>
          <w:rFonts w:ascii="Arial Narrow" w:hAnsi="Arial Narrow"/>
          <w:b/>
          <w:color w:val="000000"/>
          <w:szCs w:val="22"/>
        </w:rPr>
      </w:pPr>
      <w:r w:rsidRPr="00B35E8A">
        <w:rPr>
          <w:rFonts w:ascii="Arial Narrow" w:hAnsi="Arial Narrow"/>
          <w:b/>
          <w:color w:val="000000"/>
          <w:szCs w:val="22"/>
        </w:rPr>
        <w:t>COURSE CONTENT, METHODS OF INSTRUCTION, TOOLS AND EQUIPMENT REQUIRED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10"/>
        <w:gridCol w:w="1620"/>
        <w:gridCol w:w="1440"/>
      </w:tblGrid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TOPIC</w:t>
            </w:r>
          </w:p>
        </w:tc>
        <w:tc>
          <w:tcPr>
            <w:tcW w:w="441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CONTENT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METHOD OF INSTRUCTION / Time allocated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TOOLS / EQUIPMENT NEEDED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1.</w:t>
            </w:r>
            <w:r w:rsidRPr="00B35E8A">
              <w:rPr>
                <w:rFonts w:ascii="Arial Narrow" w:hAnsi="Arial Narrow"/>
                <w:b/>
                <w:szCs w:val="22"/>
              </w:rPr>
              <w:t xml:space="preserve"> </w:t>
            </w:r>
            <w:r w:rsidRPr="00B35E8A">
              <w:rPr>
                <w:rFonts w:ascii="Arial Narrow" w:hAnsi="Arial Narrow"/>
                <w:b/>
                <w:bCs/>
                <w:szCs w:val="22"/>
              </w:rPr>
              <w:t xml:space="preserve">MICROECONOMIC FOUNDATIONS 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 Power of Economic Analysis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Defining Economics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Microeconomics vs. Macroeconomics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Scarcity, Wants and Needs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Scarcity, Choice and </w:t>
            </w:r>
            <w:smartTag w:uri="urn:schemas-microsoft-com:office:smarttags" w:element="place">
              <w:r w:rsidRPr="00B35E8A">
                <w:rPr>
                  <w:rFonts w:ascii="Arial Narrow" w:hAnsi="Arial Narrow"/>
                  <w:szCs w:val="22"/>
                </w:rPr>
                <w:t>Opportunity</w:t>
              </w:r>
            </w:smartTag>
            <w:r w:rsidRPr="00B35E8A">
              <w:rPr>
                <w:rFonts w:ascii="Arial Narrow" w:hAnsi="Arial Narrow"/>
                <w:szCs w:val="22"/>
              </w:rPr>
              <w:t xml:space="preserve"> Cost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The Choices Society Faces</w:t>
            </w:r>
          </w:p>
          <w:p w:rsidR="00E708CE" w:rsidRPr="00B35E8A" w:rsidRDefault="00E708CE" w:rsidP="00E708CE">
            <w:pPr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Economic Growth and the Production Possibilities Curve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1: Measuring Economic growth using the PPF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lastRenderedPageBreak/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outlineLvl w:val="0"/>
              <w:rPr>
                <w:rFonts w:ascii="Arial Narrow" w:hAnsi="Arial Narrow"/>
                <w:b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2. </w:t>
            </w:r>
            <w:r w:rsidRPr="00B35E8A">
              <w:rPr>
                <w:rFonts w:ascii="Arial Narrow" w:hAnsi="Arial Narrow"/>
                <w:b/>
                <w:szCs w:val="22"/>
              </w:rPr>
              <w:t>PRICE DETERMINATION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 Law of Demand, the Demand Schedule &amp; Shifts in Demand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 xml:space="preserve">The Law of Supply, the Supply Schedule &amp; </w:t>
            </w:r>
            <w:r w:rsidRPr="00B35E8A">
              <w:rPr>
                <w:rFonts w:ascii="Arial Narrow" w:hAnsi="Arial Narrow"/>
                <w:szCs w:val="22"/>
              </w:rPr>
              <w:t>Shifts in Supply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Putting Demand and Supply Together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Changes in Demand and Supply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2: Demand and Supply curves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outlineLvl w:val="0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szCs w:val="22"/>
              </w:rPr>
              <w:t>3. PRICE DETERMINATION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 Rationing Function of Prices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 Policy of Controlling Rents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Price Floors in Agriculture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Price Floors in the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labor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market</w:t>
            </w:r>
          </w:p>
          <w:p w:rsidR="00E708CE" w:rsidRPr="00B35E8A" w:rsidRDefault="00E708CE" w:rsidP="00E708C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Quantity Restrictions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3: Effects of Price floors and price ceilings on demand and supply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4.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ELASTICITY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Elasticity part 1; (Price Elasticity of Demand, Point &amp; Arc)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4: Exercises on Price Elasticity of Demand, Point &amp; Arc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5.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ELASTICITY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Elasticity part 2; (Determinants of Price Elasticity of Demand)</w:t>
            </w:r>
          </w:p>
          <w:p w:rsidR="00E708CE" w:rsidRPr="00B35E8A" w:rsidRDefault="00E708CE" w:rsidP="00E708CE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Other Elasticity Concepts (Cross Elasticity of Demand, Income Elasticity of Demand)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5: Exercises on Cross Elasticity of Demand, Income Elasticity of Demand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Assignment 1: On Elasticity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6.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THE CIRCULAR FLOW OF INCOME &amp; BUSINESS CYCLES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Basic &amp; extended models</w:t>
            </w:r>
          </w:p>
          <w:p w:rsidR="00E708CE" w:rsidRPr="00B35E8A" w:rsidRDefault="00E708CE" w:rsidP="00E708CE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Flows &amp; stock, leakages &amp; injections</w:t>
            </w:r>
          </w:p>
          <w:p w:rsidR="00E708CE" w:rsidRPr="00B35E8A" w:rsidRDefault="00E708CE" w:rsidP="00E708CE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Business cycles &amp;Measuring economic growth by GNP&amp; GDP</w:t>
            </w:r>
          </w:p>
          <w:p w:rsidR="00E708CE" w:rsidRPr="00B35E8A" w:rsidRDefault="00E708CE" w:rsidP="00E708CE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Goals of macroeconomics </w:t>
            </w:r>
          </w:p>
          <w:p w:rsidR="00E708CE" w:rsidRPr="00B35E8A" w:rsidRDefault="00E708CE" w:rsidP="00E708CE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Economic indicators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6: Exercises on measuring national income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pStyle w:val="Heading6"/>
              <w:spacing w:line="240" w:lineRule="auto"/>
              <w:ind w:left="252" w:hanging="252"/>
              <w:rPr>
                <w:rFonts w:ascii="Arial Narrow" w:hAnsi="Arial Narrow"/>
                <w:b w:val="0"/>
                <w:u w:val="single"/>
              </w:rPr>
            </w:pPr>
            <w:r w:rsidRPr="00B35E8A">
              <w:rPr>
                <w:rFonts w:ascii="Arial Narrow" w:hAnsi="Arial Narrow"/>
                <w:b w:val="0"/>
                <w:color w:val="000000"/>
              </w:rPr>
              <w:t xml:space="preserve">7. </w:t>
            </w:r>
            <w:r w:rsidRPr="00B35E8A">
              <w:rPr>
                <w:rFonts w:ascii="Arial Narrow" w:hAnsi="Arial Narrow"/>
              </w:rPr>
              <w:t>MEASURING NATIONAL INCOME &amp; OUTPUT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GNP: Nations citizen’s income, consumption &amp; savings</w:t>
            </w:r>
          </w:p>
          <w:p w:rsidR="00E708CE" w:rsidRPr="00B35E8A" w:rsidRDefault="00E708CE" w:rsidP="00E708CE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GDP: barometer of the economy, unemployment &amp; inflation</w:t>
            </w:r>
          </w:p>
          <w:p w:rsidR="00E708CE" w:rsidRPr="00B35E8A" w:rsidRDefault="00E708CE" w:rsidP="00E708CE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Compare &amp; contrast FDI</w:t>
            </w:r>
          </w:p>
          <w:p w:rsidR="00E708CE" w:rsidRPr="00B35E8A" w:rsidRDefault="00E708CE" w:rsidP="00E708CE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Approaches of measuring national output: Expenditure, Income &amp; Value-added 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approaches.</w:t>
            </w:r>
          </w:p>
          <w:p w:rsidR="00E708CE" w:rsidRPr="00B35E8A" w:rsidRDefault="00E708CE" w:rsidP="00E708CE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Problems in national income accounting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7: Exercises on measuring GDP, GNP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lastRenderedPageBreak/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8.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UNEMPLOYMENT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Definition of unemployment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Population accounts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Labor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force: unemployed &amp; employed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Unemployment statistics</w:t>
            </w:r>
            <w:r w:rsidRPr="00B35E8A">
              <w:rPr>
                <w:rFonts w:ascii="Arial Narrow" w:hAnsi="Arial Narrow"/>
                <w:szCs w:val="22"/>
              </w:rPr>
              <w:t>: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 Tutorial 8: Unemployment statistics in </w:t>
            </w: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szCs w:val="22"/>
                  </w:rPr>
                  <w:t>Uganda</w:t>
                </w:r>
              </w:smartTag>
            </w:smartTag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Quiz 1: covering topics 1-8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9.UNEMPLOYMENT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Bias in unemployment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Types of unemployment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The Natural Rate of Unemployment</w:t>
            </w:r>
          </w:p>
          <w:p w:rsidR="00E708CE" w:rsidRPr="00B35E8A" w:rsidRDefault="00E708CE" w:rsidP="00E708CE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Potential GNP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9:  measuring unemployment rate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10.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INFLATION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Definitions: inflation, disinflation, deflation</w:t>
            </w:r>
          </w:p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Problems of inflation</w:t>
            </w:r>
          </w:p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Measures of inflation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Assignment 2:  Inflation in </w:t>
            </w: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szCs w:val="22"/>
                  </w:rPr>
                  <w:t>Uganda</w:t>
                </w:r>
              </w:smartTag>
            </w:smartTag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11.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INFLATION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Costs &amp; benefits of inflation</w:t>
            </w:r>
          </w:p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Types of inflation</w:t>
            </w:r>
          </w:p>
          <w:p w:rsidR="00E708CE" w:rsidRPr="00B35E8A" w:rsidRDefault="00E708CE" w:rsidP="00E708CE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pacing w:val="-3"/>
                <w:szCs w:val="22"/>
              </w:rPr>
              <w:t>Real versus nominal rate of inflation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pacing w:val="-3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Tutorial 10:  measuring inflation rate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12. 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 xml:space="preserve">AGGREGATE DEMAND &amp; AGGREGATE SUPPLY 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Definitions</w:t>
            </w:r>
          </w:p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Price level &amp; national output</w:t>
            </w:r>
          </w:p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Downward sloping aggregate demand curve</w:t>
            </w:r>
          </w:p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Upward sloping aggregate supply curve</w:t>
            </w:r>
          </w:p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Shifts in aggregate demand &amp; aggregate supply curves</w:t>
            </w:r>
          </w:p>
          <w:p w:rsidR="00E708CE" w:rsidRPr="00B35E8A" w:rsidRDefault="00E708CE" w:rsidP="00E708CE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Macroeconomic equilibrium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Tutorial 11:  Exercises on the 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t>Macroeconomic equilibrium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13.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FISCAL POLICY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Gaps: GNP, Recessionary, inflationary</w:t>
            </w:r>
          </w:p>
          <w:p w:rsidR="00E708CE" w:rsidRPr="00B35E8A" w:rsidRDefault="00E708CE" w:rsidP="00E708CE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Fiscal policy: government spending, taxation, discretionary, simple budget G&amp;T, Balanced, surplus, deficit</w:t>
            </w:r>
          </w:p>
          <w:p w:rsidR="00E708CE" w:rsidRPr="00B35E8A" w:rsidRDefault="00E708CE" w:rsidP="00E708CE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Tax multiplier</w:t>
            </w:r>
          </w:p>
          <w:p w:rsidR="00E708CE" w:rsidRPr="00B35E8A" w:rsidRDefault="00E708CE" w:rsidP="00E708CE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Balanced budget multiplier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 12: Exercises on computing different multipliers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14.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MONEY &amp; MONETARY POLICY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Money: definition, functions, types, Characteristics 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Barter system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Liquidity: </w:t>
            </w:r>
            <w:smartTag w:uri="urn:schemas-microsoft-com:office:smarttags" w:element="place">
              <w:smartTag w:uri="urn:schemas-microsoft-com:office:smarttags" w:element="City">
                <w:r w:rsidRPr="00B35E8A">
                  <w:rPr>
                    <w:rFonts w:ascii="Arial Narrow" w:hAnsi="Arial Narrow"/>
                    <w:color w:val="000000"/>
                    <w:szCs w:val="22"/>
                  </w:rPr>
                  <w:t>Gresham</w:t>
                </w:r>
              </w:smartTag>
            </w:smartTag>
            <w:r w:rsidRPr="00B35E8A">
              <w:rPr>
                <w:rFonts w:ascii="Arial Narrow" w:hAnsi="Arial Narrow"/>
                <w:color w:val="000000"/>
                <w:szCs w:val="22"/>
              </w:rPr>
              <w:t>’s law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Fractional reserve banking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Tutorial 13: The central bank and monetary policies in </w:t>
            </w: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color w:val="000000"/>
                    <w:szCs w:val="22"/>
                  </w:rPr>
                  <w:t>Uganda</w:t>
                </w:r>
              </w:smartTag>
            </w:smartTag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15. </w:t>
            </w: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MONEY &amp; MONETARY POLICY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Money supply: M1, M2, M3, L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Money creation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Monetary base</w:t>
            </w:r>
          </w:p>
          <w:p w:rsidR="00E708CE" w:rsidRPr="00B35E8A" w:rsidRDefault="00E708CE" w:rsidP="00E708CE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Financial intermediation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Tutorial 14: Exercises on banks &amp; money creation under fractional reserve banking</w:t>
            </w:r>
          </w:p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Quiz 2: covering topics 9-15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Interactive Lectures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 xml:space="preserve">Tutorial (2 </w:t>
            </w:r>
            <w:proofErr w:type="spellStart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color w:val="000000"/>
                <w:szCs w:val="22"/>
                <w:lang w:val="fr-FR"/>
              </w:rPr>
              <w:t>)</w:t>
            </w:r>
          </w:p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Chalk / BB or Markers / Flip charts</w:t>
            </w:r>
          </w:p>
        </w:tc>
      </w:tr>
      <w:tr w:rsidR="00E708CE" w:rsidRPr="00B35E8A" w:rsidTr="00B10D60">
        <w:tc>
          <w:tcPr>
            <w:tcW w:w="2430" w:type="dxa"/>
          </w:tcPr>
          <w:p w:rsidR="00E708CE" w:rsidRPr="00B35E8A" w:rsidRDefault="00E708CE" w:rsidP="00B10D60">
            <w:pPr>
              <w:tabs>
                <w:tab w:val="left" w:pos="252"/>
              </w:tabs>
              <w:spacing w:line="240" w:lineRule="auto"/>
              <w:ind w:left="252" w:hanging="252"/>
              <w:rPr>
                <w:rFonts w:ascii="Arial Narrow" w:hAnsi="Arial Narrow"/>
                <w:b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/>
                <w:color w:val="000000"/>
                <w:szCs w:val="22"/>
              </w:rPr>
              <w:t>16 - 17</w:t>
            </w:r>
          </w:p>
        </w:tc>
        <w:tc>
          <w:tcPr>
            <w:tcW w:w="4410" w:type="dxa"/>
          </w:tcPr>
          <w:p w:rsidR="00E708CE" w:rsidRPr="00B35E8A" w:rsidRDefault="00E708CE" w:rsidP="00E708CE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Revision time</w:t>
            </w:r>
          </w:p>
          <w:p w:rsidR="00E708CE" w:rsidRPr="00B35E8A" w:rsidRDefault="00E708CE" w:rsidP="00E708CE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Final Examination</w:t>
            </w:r>
          </w:p>
        </w:tc>
        <w:tc>
          <w:tcPr>
            <w:tcW w:w="1620" w:type="dxa"/>
          </w:tcPr>
          <w:p w:rsidR="00E708CE" w:rsidRPr="00B35E8A" w:rsidRDefault="00E708CE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E708CE" w:rsidRPr="00B35E8A" w:rsidRDefault="00E708CE" w:rsidP="00E708CE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E708CE" w:rsidRPr="00B35E8A" w:rsidRDefault="00E708CE" w:rsidP="00E708CE">
      <w:pPr>
        <w:spacing w:line="240" w:lineRule="auto"/>
        <w:rPr>
          <w:rFonts w:ascii="Arial Narrow" w:hAnsi="Arial Narrow"/>
          <w:b/>
          <w:szCs w:val="22"/>
        </w:rPr>
      </w:pPr>
      <w:r w:rsidRPr="00B35E8A">
        <w:rPr>
          <w:rFonts w:ascii="Arial Narrow" w:hAnsi="Arial Narrow"/>
          <w:b/>
          <w:szCs w:val="22"/>
        </w:rPr>
        <w:t>9. SUMMARY OF TIME NEEDED</w:t>
      </w:r>
    </w:p>
    <w:p w:rsidR="00E708CE" w:rsidRPr="00B35E8A" w:rsidRDefault="00E708CE" w:rsidP="00E708CE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Lectures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30 </w:t>
      </w:r>
      <w:proofErr w:type="spellStart"/>
      <w:r w:rsidRPr="00B35E8A">
        <w:rPr>
          <w:rFonts w:ascii="Arial Narrow" w:hAnsi="Arial Narrow"/>
          <w:szCs w:val="22"/>
        </w:rPr>
        <w:t>hrs</w:t>
      </w:r>
      <w:proofErr w:type="spellEnd"/>
    </w:p>
    <w:p w:rsidR="00E708CE" w:rsidRPr="00B35E8A" w:rsidRDefault="00E708CE" w:rsidP="00E708CE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Tutorials (and assignments)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15 </w:t>
      </w:r>
      <w:proofErr w:type="spellStart"/>
      <w:r w:rsidRPr="00B35E8A">
        <w:rPr>
          <w:rFonts w:ascii="Arial Narrow" w:hAnsi="Arial Narrow"/>
          <w:szCs w:val="22"/>
        </w:rPr>
        <w:t>hrs</w:t>
      </w:r>
      <w:proofErr w:type="spellEnd"/>
    </w:p>
    <w:p w:rsidR="00E708CE" w:rsidRPr="00B35E8A" w:rsidRDefault="00E708CE" w:rsidP="00E708CE">
      <w:pPr>
        <w:spacing w:line="240" w:lineRule="auto"/>
        <w:rPr>
          <w:rFonts w:ascii="Arial Narrow" w:hAnsi="Arial Narrow"/>
          <w:szCs w:val="22"/>
        </w:rPr>
      </w:pPr>
    </w:p>
    <w:p w:rsidR="00E708CE" w:rsidRPr="00B35E8A" w:rsidRDefault="00E708CE" w:rsidP="00E708CE">
      <w:pPr>
        <w:spacing w:line="240" w:lineRule="auto"/>
        <w:rPr>
          <w:rFonts w:ascii="Arial Narrow" w:hAnsi="Arial Narrow"/>
          <w:b/>
          <w:bCs/>
          <w:szCs w:val="22"/>
        </w:rPr>
      </w:pPr>
      <w:r w:rsidRPr="00B35E8A">
        <w:rPr>
          <w:rFonts w:ascii="Arial Narrow" w:hAnsi="Arial Narrow"/>
          <w:b/>
          <w:bCs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5550"/>
        <w:gridCol w:w="1406"/>
      </w:tblGrid>
      <w:tr w:rsidR="00E708CE" w:rsidRPr="00B35E8A" w:rsidTr="00B10D60">
        <w:tc>
          <w:tcPr>
            <w:tcW w:w="2628" w:type="dxa"/>
          </w:tcPr>
          <w:p w:rsidR="00E708CE" w:rsidRPr="00B35E8A" w:rsidRDefault="00E708CE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(Quizzes):</w:t>
            </w:r>
          </w:p>
        </w:tc>
        <w:tc>
          <w:tcPr>
            <w:tcW w:w="558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There will be 2 Quizzes arising from tutorials, assignments and topics covered, during week 8 and 15 of the semester</w:t>
            </w:r>
          </w:p>
        </w:tc>
        <w:tc>
          <w:tcPr>
            <w:tcW w:w="1412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E708CE" w:rsidRPr="00B35E8A" w:rsidTr="00B10D60">
        <w:tc>
          <w:tcPr>
            <w:tcW w:w="2628" w:type="dxa"/>
          </w:tcPr>
          <w:p w:rsidR="00E708CE" w:rsidRPr="00B35E8A" w:rsidRDefault="00E708CE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(assignments):</w:t>
            </w:r>
          </w:p>
        </w:tc>
        <w:tc>
          <w:tcPr>
            <w:tcW w:w="5580" w:type="dxa"/>
          </w:tcPr>
          <w:p w:rsidR="00E708CE" w:rsidRPr="00B35E8A" w:rsidRDefault="00E708CE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Students will write 2 take-home assignments</w:t>
            </w:r>
          </w:p>
        </w:tc>
        <w:tc>
          <w:tcPr>
            <w:tcW w:w="1412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E708CE" w:rsidRPr="00B35E8A" w:rsidTr="00B10D60">
        <w:tc>
          <w:tcPr>
            <w:tcW w:w="2628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University Examination:</w:t>
            </w:r>
          </w:p>
        </w:tc>
        <w:tc>
          <w:tcPr>
            <w:tcW w:w="5580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E708CE" w:rsidRPr="00B35E8A" w:rsidRDefault="00E708CE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60%</w:t>
            </w:r>
          </w:p>
        </w:tc>
      </w:tr>
    </w:tbl>
    <w:p w:rsidR="00E708CE" w:rsidRPr="00316735" w:rsidRDefault="00E708CE" w:rsidP="00E708CE">
      <w:pPr>
        <w:rPr>
          <w:rFonts w:ascii="Arial Narrow" w:hAnsi="Arial Narrow"/>
          <w:szCs w:val="22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D53"/>
    <w:multiLevelType w:val="hybridMultilevel"/>
    <w:tmpl w:val="5E7C48A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10"/>
    <w:multiLevelType w:val="hybridMultilevel"/>
    <w:tmpl w:val="C8AE5D0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89D"/>
    <w:multiLevelType w:val="hybridMultilevel"/>
    <w:tmpl w:val="5C023C5A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EA8"/>
    <w:multiLevelType w:val="hybridMultilevel"/>
    <w:tmpl w:val="B100020E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478"/>
    <w:multiLevelType w:val="hybridMultilevel"/>
    <w:tmpl w:val="F9E6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047F"/>
    <w:multiLevelType w:val="hybridMultilevel"/>
    <w:tmpl w:val="7A3A63B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07E23"/>
    <w:multiLevelType w:val="hybridMultilevel"/>
    <w:tmpl w:val="93022F6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91EBD"/>
    <w:multiLevelType w:val="hybridMultilevel"/>
    <w:tmpl w:val="BE347BE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CB3"/>
    <w:multiLevelType w:val="hybridMultilevel"/>
    <w:tmpl w:val="45147CF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7E7C"/>
    <w:multiLevelType w:val="hybridMultilevel"/>
    <w:tmpl w:val="5AFC0A1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870F8"/>
    <w:multiLevelType w:val="hybridMultilevel"/>
    <w:tmpl w:val="77E2BF7A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6C1E"/>
    <w:multiLevelType w:val="hybridMultilevel"/>
    <w:tmpl w:val="FC72571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E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00608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CE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E708C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08CE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E708CE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CE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E708C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08CE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rsid w:val="00E708CE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2011-07-23T12:35:00Z</dcterms:created>
  <dcterms:modified xsi:type="dcterms:W3CDTF">2014-06-25T18:38:00Z</dcterms:modified>
</cp:coreProperties>
</file>