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A9" w:rsidRDefault="00971BA9" w:rsidP="00971BA9">
      <w:pPr>
        <w:spacing w:after="0"/>
        <w:jc w:val="both"/>
        <w:rPr>
          <w:rFonts w:ascii="Times New Roman" w:hAnsi="Times New Roman"/>
          <w:b/>
          <w:sz w:val="28"/>
          <w:szCs w:val="28"/>
        </w:rPr>
      </w:pPr>
      <w:r>
        <w:rPr>
          <w:rFonts w:ascii="Times New Roman" w:hAnsi="Times New Roman"/>
          <w:b/>
          <w:sz w:val="28"/>
          <w:szCs w:val="28"/>
        </w:rPr>
        <w:t>AHS 1202 Principles and Practices of Archaeology</w:t>
      </w:r>
    </w:p>
    <w:p w:rsidR="00971BA9" w:rsidRDefault="00971BA9" w:rsidP="00971BA9">
      <w:pPr>
        <w:spacing w:after="0"/>
        <w:jc w:val="both"/>
        <w:rPr>
          <w:rFonts w:ascii="Times New Roman" w:hAnsi="Times New Roman"/>
          <w:sz w:val="24"/>
          <w:szCs w:val="24"/>
        </w:rPr>
      </w:pPr>
      <w:r>
        <w:rPr>
          <w:rFonts w:ascii="Times New Roman" w:hAnsi="Times New Roman"/>
          <w:b/>
          <w:sz w:val="24"/>
          <w:szCs w:val="24"/>
        </w:rPr>
        <w:t>Course Objectives:</w:t>
      </w:r>
      <w:r>
        <w:rPr>
          <w:rFonts w:ascii="Times New Roman" w:hAnsi="Times New Roman"/>
          <w:sz w:val="24"/>
          <w:szCs w:val="24"/>
        </w:rPr>
        <w:t xml:space="preserve"> The major objective of this course is to introduce students to methods of archaeology, secondly is to show students how archaeologists reconstruct past life ways.</w:t>
      </w:r>
    </w:p>
    <w:p w:rsidR="00971BA9" w:rsidRDefault="00971BA9" w:rsidP="00971BA9">
      <w:pPr>
        <w:spacing w:after="0"/>
        <w:jc w:val="both"/>
        <w:rPr>
          <w:rFonts w:ascii="Times New Roman" w:hAnsi="Times New Roman"/>
          <w:b/>
          <w:sz w:val="24"/>
          <w:szCs w:val="24"/>
        </w:rPr>
      </w:pPr>
    </w:p>
    <w:p w:rsidR="00971BA9" w:rsidRDefault="00971BA9" w:rsidP="00971BA9">
      <w:pPr>
        <w:spacing w:after="0"/>
        <w:jc w:val="both"/>
        <w:rPr>
          <w:rFonts w:ascii="Times New Roman" w:hAnsi="Times New Roman"/>
          <w:b/>
          <w:sz w:val="24"/>
          <w:szCs w:val="24"/>
        </w:rPr>
      </w:pPr>
      <w:r>
        <w:rPr>
          <w:rFonts w:ascii="Times New Roman" w:hAnsi="Times New Roman"/>
          <w:b/>
          <w:sz w:val="24"/>
          <w:szCs w:val="24"/>
        </w:rPr>
        <w:t>Course Description</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 xml:space="preserve">This course shows that archaeology is principally preoccupied with the exercises of establishing evidence for the past cultural occurrences, recovering it and ultimately using it to reconstruct the past life ways. In the exercise of establishing archaeological evidence archaeologists employ various methods, but the chief of all is survey on larger landscapes using different methods. Extensive and intensive surveys are conducted depending on the objective of the research. Archaeological evidence is either found exposed on surface or all many cases buried in the ground. Recovery or non-recovery of archaeological evidence depends too on the research interest and objectives. Some archaeological evidence is not movable and the study has to be conducted on the site.  For the movable objects, archaeologists are </w:t>
      </w:r>
      <w:proofErr w:type="spellStart"/>
      <w:r>
        <w:rPr>
          <w:rFonts w:ascii="Times New Roman" w:hAnsi="Times New Roman"/>
          <w:sz w:val="24"/>
          <w:szCs w:val="24"/>
        </w:rPr>
        <w:t>some times</w:t>
      </w:r>
      <w:proofErr w:type="spellEnd"/>
      <w:r>
        <w:rPr>
          <w:rFonts w:ascii="Times New Roman" w:hAnsi="Times New Roman"/>
          <w:sz w:val="24"/>
          <w:szCs w:val="24"/>
        </w:rPr>
        <w:t xml:space="preserve"> obliged to excavate deep trenches to study the evidence or recover it for laboratory study. Excavation has become the prominent exercise in Archaeology because most past cultural materials are buried in the ground and hence require proper and careful removal. Archaeologists have developed various techniques and strategies of excavation. The course also portrays how archaeologists put together their field and laboratory finding to reconstruct </w:t>
      </w:r>
      <w:proofErr w:type="gramStart"/>
      <w:r>
        <w:rPr>
          <w:rFonts w:ascii="Times New Roman" w:hAnsi="Times New Roman"/>
          <w:sz w:val="24"/>
          <w:szCs w:val="24"/>
        </w:rPr>
        <w:t>the would</w:t>
      </w:r>
      <w:proofErr w:type="gramEnd"/>
      <w:r>
        <w:rPr>
          <w:rFonts w:ascii="Times New Roman" w:hAnsi="Times New Roman"/>
          <w:sz w:val="24"/>
          <w:szCs w:val="24"/>
        </w:rPr>
        <w:t xml:space="preserve"> be lost human past ways of life both synchronically and diachronically.</w:t>
      </w:r>
    </w:p>
    <w:p w:rsidR="00971BA9" w:rsidRDefault="00971BA9" w:rsidP="00971BA9">
      <w:pPr>
        <w:spacing w:after="0"/>
        <w:jc w:val="both"/>
        <w:rPr>
          <w:rFonts w:ascii="Times New Roman" w:hAnsi="Times New Roman"/>
          <w:sz w:val="24"/>
          <w:szCs w:val="24"/>
        </w:rPr>
      </w:pPr>
    </w:p>
    <w:p w:rsidR="00971BA9" w:rsidRDefault="00971BA9" w:rsidP="00971BA9">
      <w:pPr>
        <w:spacing w:after="120"/>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971BA9" w:rsidRDefault="00971BA9" w:rsidP="00971BA9">
      <w:pPr>
        <w:spacing w:after="0"/>
        <w:jc w:val="both"/>
        <w:rPr>
          <w:rFonts w:ascii="Times New Roman" w:hAnsi="Times New Roman"/>
          <w:b/>
          <w:sz w:val="24"/>
          <w:szCs w:val="24"/>
        </w:rPr>
      </w:pPr>
      <w:r>
        <w:rPr>
          <w:rFonts w:ascii="Times New Roman" w:hAnsi="Times New Roman"/>
          <w:b/>
          <w:sz w:val="24"/>
          <w:szCs w:val="24"/>
        </w:rPr>
        <w:t>Course Outline</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Topic 1: Aims and Nature of Archaeology</w:t>
      </w:r>
    </w:p>
    <w:p w:rsidR="00971BA9" w:rsidRDefault="00971BA9" w:rsidP="00971BA9">
      <w:pPr>
        <w:numPr>
          <w:ilvl w:val="1"/>
          <w:numId w:val="1"/>
        </w:numPr>
        <w:spacing w:after="0"/>
        <w:jc w:val="both"/>
        <w:rPr>
          <w:rFonts w:ascii="Times New Roman" w:hAnsi="Times New Roman"/>
          <w:sz w:val="24"/>
          <w:szCs w:val="24"/>
        </w:rPr>
      </w:pPr>
      <w:r>
        <w:rPr>
          <w:rFonts w:ascii="Times New Roman" w:hAnsi="Times New Roman"/>
          <w:sz w:val="24"/>
          <w:szCs w:val="24"/>
        </w:rPr>
        <w:t xml:space="preserve">Definition </w:t>
      </w:r>
    </w:p>
    <w:p w:rsidR="00971BA9" w:rsidRDefault="00971BA9" w:rsidP="00971BA9">
      <w:pPr>
        <w:numPr>
          <w:ilvl w:val="1"/>
          <w:numId w:val="1"/>
        </w:numPr>
        <w:spacing w:after="0"/>
        <w:jc w:val="both"/>
        <w:rPr>
          <w:rFonts w:ascii="Times New Roman" w:hAnsi="Times New Roman"/>
          <w:sz w:val="24"/>
          <w:szCs w:val="24"/>
        </w:rPr>
      </w:pPr>
      <w:r>
        <w:rPr>
          <w:rFonts w:ascii="Times New Roman" w:hAnsi="Times New Roman"/>
          <w:sz w:val="24"/>
          <w:szCs w:val="24"/>
        </w:rPr>
        <w:t xml:space="preserve">Archaeology as Science </w:t>
      </w:r>
    </w:p>
    <w:p w:rsidR="00971BA9" w:rsidRDefault="00971BA9" w:rsidP="00971BA9">
      <w:pPr>
        <w:numPr>
          <w:ilvl w:val="1"/>
          <w:numId w:val="1"/>
        </w:numPr>
        <w:spacing w:after="0"/>
        <w:jc w:val="both"/>
        <w:rPr>
          <w:rFonts w:ascii="Times New Roman" w:hAnsi="Times New Roman"/>
          <w:sz w:val="24"/>
          <w:szCs w:val="24"/>
        </w:rPr>
      </w:pPr>
      <w:r>
        <w:rPr>
          <w:rFonts w:ascii="Times New Roman" w:hAnsi="Times New Roman"/>
          <w:sz w:val="24"/>
          <w:szCs w:val="24"/>
        </w:rPr>
        <w:t xml:space="preserve">Archaeology as History </w:t>
      </w:r>
    </w:p>
    <w:p w:rsidR="00971BA9" w:rsidRDefault="00971BA9" w:rsidP="00971BA9">
      <w:pPr>
        <w:numPr>
          <w:ilvl w:val="1"/>
          <w:numId w:val="1"/>
        </w:numPr>
        <w:spacing w:after="0"/>
        <w:jc w:val="both"/>
        <w:rPr>
          <w:rFonts w:ascii="Times New Roman" w:hAnsi="Times New Roman"/>
          <w:sz w:val="24"/>
          <w:szCs w:val="24"/>
        </w:rPr>
      </w:pPr>
      <w:r>
        <w:rPr>
          <w:rFonts w:ascii="Times New Roman" w:hAnsi="Times New Roman"/>
          <w:sz w:val="24"/>
          <w:szCs w:val="24"/>
        </w:rPr>
        <w:t>Archaeology as Anthropology</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Topic 2: Archaeological Survey</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2.1 Reconnaissance</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2.2 Extensive survey</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2.3 Intensive survey</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2.4 Survey methods</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2.5 total record of survey</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Topic 3: Archaeological Excavation</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3.1 Pre- excavation techniques</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3.2 Stratigraphy</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3.3 Types of excavation</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3.4 Total record excavation</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Topic 4: Classification and Interpretation of Archaeological Data</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lastRenderedPageBreak/>
        <w:tab/>
        <w:t>4.1 Cleaning</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4.2 Inventory</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4.3 Typology</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4.4 Comparative analysis</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Topic 5: Archaeological Dating</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5.1 Calendars</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5.2 Relative dating</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5.3 Chronometric dating</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5.4 Dendrochronolgy</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ab/>
        <w:t>5.5 Geo-magnetic dating</w:t>
      </w:r>
    </w:p>
    <w:p w:rsidR="00971BA9" w:rsidRDefault="00971BA9" w:rsidP="00971BA9">
      <w:pPr>
        <w:spacing w:after="0"/>
        <w:jc w:val="both"/>
        <w:rPr>
          <w:rFonts w:ascii="Times New Roman" w:hAnsi="Times New Roman"/>
          <w:b/>
          <w:sz w:val="24"/>
          <w:szCs w:val="24"/>
        </w:rPr>
      </w:pPr>
      <w:r>
        <w:rPr>
          <w:rFonts w:ascii="Times New Roman" w:hAnsi="Times New Roman"/>
          <w:b/>
          <w:sz w:val="24"/>
          <w:szCs w:val="24"/>
        </w:rPr>
        <w:t>Basic readings</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 xml:space="preserve">Fagan, B 1997. </w:t>
      </w:r>
      <w:r>
        <w:rPr>
          <w:rFonts w:ascii="Times New Roman" w:hAnsi="Times New Roman"/>
          <w:i/>
          <w:sz w:val="24"/>
          <w:szCs w:val="24"/>
        </w:rPr>
        <w:t>In the Beginning</w:t>
      </w:r>
      <w:r>
        <w:rPr>
          <w:rFonts w:ascii="Times New Roman" w:hAnsi="Times New Roman"/>
          <w:sz w:val="24"/>
          <w:szCs w:val="24"/>
        </w:rPr>
        <w:t>.</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Longman</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Damey, W 2001.</w:t>
      </w:r>
      <w:r>
        <w:rPr>
          <w:rFonts w:ascii="Times New Roman" w:hAnsi="Times New Roman"/>
          <w:i/>
          <w:sz w:val="24"/>
          <w:szCs w:val="24"/>
        </w:rPr>
        <w:t xml:space="preserve">Archaeological Field </w:t>
      </w:r>
      <w:r w:rsidR="003F7F2A">
        <w:rPr>
          <w:rFonts w:ascii="Times New Roman" w:hAnsi="Times New Roman"/>
          <w:i/>
          <w:sz w:val="24"/>
          <w:szCs w:val="24"/>
        </w:rPr>
        <w:t>Methods</w:t>
      </w:r>
      <w:r w:rsidR="003F7F2A">
        <w:rPr>
          <w:rFonts w:ascii="Times New Roman" w:hAnsi="Times New Roman"/>
          <w:sz w:val="24"/>
          <w:szCs w:val="24"/>
        </w:rPr>
        <w:t>. Minneapolis</w:t>
      </w:r>
      <w:r>
        <w:rPr>
          <w:rFonts w:ascii="Times New Roman" w:hAnsi="Times New Roman"/>
          <w:sz w:val="24"/>
          <w:szCs w:val="24"/>
        </w:rPr>
        <w:t>; Burgen publishers &amp;co</w:t>
      </w:r>
    </w:p>
    <w:p w:rsidR="00971BA9" w:rsidRDefault="00971BA9" w:rsidP="00971BA9">
      <w:pPr>
        <w:spacing w:after="0"/>
        <w:jc w:val="both"/>
        <w:rPr>
          <w:rFonts w:ascii="Times New Roman" w:hAnsi="Times New Roman"/>
          <w:sz w:val="24"/>
          <w:szCs w:val="24"/>
        </w:rPr>
      </w:pPr>
      <w:r>
        <w:rPr>
          <w:rFonts w:ascii="Times New Roman" w:hAnsi="Times New Roman"/>
          <w:sz w:val="24"/>
          <w:szCs w:val="24"/>
        </w:rPr>
        <w:t>Feder, K. L 2000.</w:t>
      </w:r>
      <w:r>
        <w:rPr>
          <w:rFonts w:ascii="Times New Roman" w:hAnsi="Times New Roman"/>
          <w:i/>
          <w:sz w:val="24"/>
          <w:szCs w:val="24"/>
        </w:rPr>
        <w:t xml:space="preserve">The Past in Perspective: An Introduction to Human Prehistory. </w:t>
      </w:r>
      <w:smartTag w:uri="urn:schemas-microsoft-com:office:smarttags" w:element="place">
        <w:smartTag w:uri="urn:schemas-microsoft-com:office:smarttags" w:element="State">
          <w:r>
            <w:rPr>
              <w:rFonts w:ascii="Times New Roman" w:hAnsi="Times New Roman"/>
              <w:sz w:val="24"/>
              <w:szCs w:val="24"/>
            </w:rPr>
            <w:t>California</w:t>
          </w:r>
        </w:smartTag>
      </w:smartTag>
      <w:r>
        <w:rPr>
          <w:rFonts w:ascii="Times New Roman" w:hAnsi="Times New Roman"/>
          <w:sz w:val="24"/>
          <w:szCs w:val="24"/>
        </w:rPr>
        <w:t>: Mayfield Publishing Company.</w:t>
      </w:r>
    </w:p>
    <w:p w:rsidR="00971BA9" w:rsidRDefault="00971BA9" w:rsidP="00971BA9">
      <w:pPr>
        <w:spacing w:after="0"/>
        <w:jc w:val="both"/>
        <w:rPr>
          <w:rFonts w:ascii="Times New Roman" w:hAnsi="Times New Roman"/>
        </w:rPr>
      </w:pPr>
      <w:r>
        <w:rPr>
          <w:rFonts w:ascii="Times New Roman" w:hAnsi="Times New Roman"/>
        </w:rPr>
        <w:t xml:space="preserve">Joukowsky, M. (1980), </w:t>
      </w:r>
      <w:proofErr w:type="gramStart"/>
      <w:r>
        <w:rPr>
          <w:rFonts w:ascii="Times New Roman" w:hAnsi="Times New Roman"/>
          <w:i/>
        </w:rPr>
        <w:t>A</w:t>
      </w:r>
      <w:proofErr w:type="gramEnd"/>
      <w:r>
        <w:rPr>
          <w:rFonts w:ascii="Times New Roman" w:hAnsi="Times New Roman"/>
          <w:i/>
        </w:rPr>
        <w:t xml:space="preserve"> complete manual of field archaeology: Tools and techniques of fieldwork forarchaeologists.</w:t>
      </w:r>
      <w:smartTag w:uri="urn:schemas-microsoft-com:office:smarttags" w:element="place">
        <w:smartTag w:uri="urn:schemas-microsoft-com:office:smarttags" w:element="State">
          <w:r>
            <w:rPr>
              <w:rFonts w:ascii="Times New Roman" w:hAnsi="Times New Roman"/>
            </w:rPr>
            <w:t>New Jersey</w:t>
          </w:r>
        </w:smartTag>
      </w:smartTag>
      <w:r>
        <w:rPr>
          <w:rFonts w:ascii="Times New Roman" w:hAnsi="Times New Roman"/>
        </w:rPr>
        <w:t>: Prentice-Hall.</w:t>
      </w:r>
    </w:p>
    <w:p w:rsidR="00971BA9" w:rsidRDefault="00971BA9" w:rsidP="00971BA9">
      <w:pPr>
        <w:spacing w:after="0"/>
        <w:jc w:val="both"/>
        <w:rPr>
          <w:rFonts w:ascii="Times New Roman" w:hAnsi="Times New Roman"/>
          <w:sz w:val="24"/>
          <w:szCs w:val="24"/>
        </w:rPr>
      </w:pPr>
      <w:r>
        <w:rPr>
          <w:rFonts w:ascii="Times New Roman" w:hAnsi="Times New Roman"/>
        </w:rPr>
        <w:t xml:space="preserve">Renfrew, C and P. Bahn (1991), </w:t>
      </w:r>
      <w:r>
        <w:rPr>
          <w:rFonts w:ascii="Times New Roman" w:hAnsi="Times New Roman"/>
          <w:i/>
        </w:rPr>
        <w:t>Archaeology: Theory, Method and Practice.</w:t>
      </w:r>
      <w:smartTag w:uri="urn:schemas-microsoft-com:office:smarttags" w:element="City">
        <w:r>
          <w:rPr>
            <w:rFonts w:ascii="Times New Roman" w:hAnsi="Times New Roman"/>
          </w:rPr>
          <w:t>London</w:t>
        </w:r>
      </w:smartTag>
      <w:r>
        <w:rPr>
          <w:rFonts w:ascii="Times New Roman" w:hAnsi="Times New Roman"/>
        </w:rPr>
        <w:t xml:space="preserve">: Thames and </w:t>
      </w:r>
      <w:smartTag w:uri="urn:schemas-microsoft-com:office:smarttags" w:element="place">
        <w:smartTag w:uri="urn:schemas-microsoft-com:office:smarttags" w:element="City">
          <w:r>
            <w:rPr>
              <w:rFonts w:ascii="Times New Roman" w:hAnsi="Times New Roman"/>
            </w:rPr>
            <w:t>Hudson</w:t>
          </w:r>
        </w:smartTag>
      </w:smartTag>
    </w:p>
    <w:p w:rsidR="001C3396" w:rsidRDefault="001C3396">
      <w:bookmarkStart w:id="0" w:name="_GoBack"/>
      <w:bookmarkEnd w:id="0"/>
    </w:p>
    <w:sectPr w:rsidR="001C3396" w:rsidSect="00076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E5709"/>
    <w:multiLevelType w:val="multilevel"/>
    <w:tmpl w:val="853CD6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71BA9"/>
    <w:rsid w:val="00050608"/>
    <w:rsid w:val="00076970"/>
    <w:rsid w:val="001668D8"/>
    <w:rsid w:val="001C3396"/>
    <w:rsid w:val="001F160E"/>
    <w:rsid w:val="001F2F3E"/>
    <w:rsid w:val="00275EBF"/>
    <w:rsid w:val="003F7F2A"/>
    <w:rsid w:val="00563212"/>
    <w:rsid w:val="00745640"/>
    <w:rsid w:val="00867664"/>
    <w:rsid w:val="008F7FC7"/>
    <w:rsid w:val="00970755"/>
    <w:rsid w:val="00971BA9"/>
    <w:rsid w:val="00A32CE0"/>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Company>Microsoft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2011-07-18T20:52:00Z</dcterms:created>
  <dcterms:modified xsi:type="dcterms:W3CDTF">2014-06-20T20:55:00Z</dcterms:modified>
</cp:coreProperties>
</file>