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E5" w:rsidRDefault="00D669E5" w:rsidP="00D669E5">
      <w:pPr>
        <w:spacing w:after="0"/>
        <w:jc w:val="both"/>
        <w:rPr>
          <w:rFonts w:ascii="Times New Roman" w:hAnsi="Times New Roman"/>
          <w:b/>
          <w:sz w:val="28"/>
          <w:szCs w:val="28"/>
        </w:rPr>
      </w:pPr>
      <w:r>
        <w:rPr>
          <w:rFonts w:ascii="Times New Roman" w:hAnsi="Times New Roman"/>
          <w:b/>
          <w:sz w:val="28"/>
          <w:szCs w:val="28"/>
        </w:rPr>
        <w:t>AHS 2207 Advanced Theories and Approaches in Archaeology since 1950 to date</w:t>
      </w:r>
    </w:p>
    <w:p w:rsidR="00D669E5" w:rsidRDefault="00D669E5" w:rsidP="00D669E5">
      <w:pPr>
        <w:rPr>
          <w:rFonts w:ascii="Times New Roman" w:hAnsi="Times New Roman"/>
          <w:b/>
          <w:sz w:val="24"/>
          <w:szCs w:val="24"/>
        </w:rPr>
      </w:pPr>
    </w:p>
    <w:p w:rsidR="00D669E5" w:rsidRDefault="00D669E5" w:rsidP="00D669E5">
      <w:pPr>
        <w:jc w:val="both"/>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This course aims at equipping students with recent and current theoretical and practical approaches in archaeology.</w:t>
      </w:r>
    </w:p>
    <w:p w:rsidR="00D669E5" w:rsidRDefault="00D669E5" w:rsidP="00D669E5">
      <w:pPr>
        <w:jc w:val="both"/>
        <w:rPr>
          <w:rFonts w:ascii="Times New Roman" w:hAnsi="Times New Roman"/>
          <w:b/>
          <w:sz w:val="24"/>
          <w:szCs w:val="24"/>
        </w:rPr>
      </w:pPr>
      <w:r>
        <w:rPr>
          <w:rFonts w:ascii="Times New Roman" w:hAnsi="Times New Roman"/>
          <w:b/>
          <w:sz w:val="24"/>
          <w:szCs w:val="24"/>
        </w:rPr>
        <w:t>Course Description</w:t>
      </w:r>
    </w:p>
    <w:p w:rsidR="00D669E5" w:rsidRDefault="00D669E5" w:rsidP="00D669E5">
      <w:pPr>
        <w:jc w:val="both"/>
        <w:rPr>
          <w:rFonts w:ascii="Times New Roman" w:hAnsi="Times New Roman"/>
          <w:sz w:val="24"/>
          <w:szCs w:val="24"/>
        </w:rPr>
      </w:pPr>
      <w:r>
        <w:rPr>
          <w:rFonts w:ascii="Times New Roman" w:hAnsi="Times New Roman"/>
          <w:sz w:val="24"/>
          <w:szCs w:val="24"/>
        </w:rPr>
        <w:t>The course focuses on recent and current approaches influencing the thinking and practices of archaeology in the world. Currently, such approaches include Ethnoarchaeology, landscape archaeology, nautical archaeology, archaeological GIS, Public archaeology, developmental archaeology and engendered archaeology.</w:t>
      </w:r>
    </w:p>
    <w:p w:rsidR="00D669E5" w:rsidRDefault="00D669E5" w:rsidP="00D669E5">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D669E5" w:rsidRDefault="00D669E5" w:rsidP="00D669E5">
      <w:pPr>
        <w:spacing w:line="240" w:lineRule="auto"/>
        <w:rPr>
          <w:rFonts w:ascii="Times New Roman" w:hAnsi="Times New Roman"/>
          <w:b/>
          <w:sz w:val="24"/>
          <w:szCs w:val="24"/>
        </w:rPr>
      </w:pPr>
      <w:r>
        <w:rPr>
          <w:rFonts w:ascii="Times New Roman" w:hAnsi="Times New Roman"/>
          <w:b/>
          <w:sz w:val="24"/>
          <w:szCs w:val="24"/>
        </w:rPr>
        <w:t>Course Outline</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Topic 1: General Background</w:t>
      </w:r>
    </w:p>
    <w:p w:rsidR="00D669E5" w:rsidRDefault="00D669E5" w:rsidP="00D669E5">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How approaches originate</w:t>
      </w:r>
    </w:p>
    <w:p w:rsidR="00D669E5" w:rsidRDefault="00D669E5" w:rsidP="00D669E5">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Development and termination</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Topic 2: Ethnoarchaeology</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2.1 Definition</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2.2 Historical Development of the concept</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2.3 Application in Archaeology: strengths and weaknesses</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Topic3: Landscape Archaeology</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3.1 Definition</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3.2 Historical Development of the concept</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3.3 Application in Archaeology: strengths and weaknesses</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Topic 4: Archaeology and GIS</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4.1 Definition</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4.2 Historical Development of the concept</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4.3 Application in Archaeology: strengths and weaknesses</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Topic 5: Public Archaeology</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5.1 Definition</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lastRenderedPageBreak/>
        <w:t>5.2 Historical Development of the concept</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5.3 Application in Archaeology: strengths and weaknesses</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Topic 6: Developmental Archaeology</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6.1 Definition</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6.2 Historical Development of the concept</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6.3 Application in Archaeology: strengths and weaknesses</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Topic 7: Nautical Archaeology</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7.1 Definition</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7.2 Historical Development of the concept</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7.3 Application in Archaeology: strengths and weaknesses</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Topic 8: Engendered Archaeology</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8.1 Definition</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8.2 Historical Development of the concept</w:t>
      </w:r>
    </w:p>
    <w:p w:rsidR="00D669E5" w:rsidRDefault="00D669E5" w:rsidP="00D669E5">
      <w:pPr>
        <w:spacing w:line="240" w:lineRule="auto"/>
        <w:ind w:firstLine="720"/>
        <w:rPr>
          <w:rFonts w:ascii="Times New Roman" w:hAnsi="Times New Roman"/>
          <w:sz w:val="24"/>
          <w:szCs w:val="24"/>
        </w:rPr>
      </w:pPr>
      <w:r>
        <w:rPr>
          <w:rFonts w:ascii="Times New Roman" w:hAnsi="Times New Roman"/>
          <w:sz w:val="24"/>
          <w:szCs w:val="24"/>
        </w:rPr>
        <w:t>8.3 Application in Archaeology: strengths and weaknesses</w:t>
      </w:r>
    </w:p>
    <w:p w:rsidR="00D669E5" w:rsidRDefault="00D669E5" w:rsidP="00D669E5">
      <w:pPr>
        <w:spacing w:line="240" w:lineRule="auto"/>
        <w:rPr>
          <w:rFonts w:ascii="Times New Roman" w:hAnsi="Times New Roman"/>
          <w:b/>
          <w:sz w:val="24"/>
          <w:szCs w:val="24"/>
        </w:rPr>
      </w:pPr>
      <w:r>
        <w:rPr>
          <w:rFonts w:ascii="Times New Roman" w:hAnsi="Times New Roman"/>
          <w:b/>
          <w:sz w:val="24"/>
          <w:szCs w:val="24"/>
        </w:rPr>
        <w:t xml:space="preserve">Basic </w:t>
      </w:r>
      <w:smartTag w:uri="urn:schemas-microsoft-com:office:smarttags" w:element="place">
        <w:smartTag w:uri="urn:schemas-microsoft-com:office:smarttags" w:element="City">
          <w:r>
            <w:rPr>
              <w:rFonts w:ascii="Times New Roman" w:hAnsi="Times New Roman"/>
              <w:b/>
              <w:sz w:val="24"/>
              <w:szCs w:val="24"/>
            </w:rPr>
            <w:t>Readings</w:t>
          </w:r>
        </w:smartTag>
      </w:smartTag>
    </w:p>
    <w:p w:rsidR="00D669E5" w:rsidRDefault="00D669E5" w:rsidP="00D669E5">
      <w:pPr>
        <w:spacing w:line="240" w:lineRule="auto"/>
        <w:rPr>
          <w:rFonts w:ascii="Times New Roman" w:hAnsi="Times New Roman"/>
          <w:sz w:val="24"/>
          <w:szCs w:val="24"/>
        </w:rPr>
      </w:pPr>
      <w:r>
        <w:rPr>
          <w:rFonts w:ascii="Times New Roman" w:hAnsi="Times New Roman"/>
          <w:sz w:val="24"/>
          <w:szCs w:val="24"/>
        </w:rPr>
        <w:t xml:space="preserve">Cameron, E and T. </w:t>
      </w:r>
      <w:r w:rsidR="005712AF">
        <w:rPr>
          <w:rFonts w:ascii="Times New Roman" w:hAnsi="Times New Roman"/>
          <w:sz w:val="24"/>
          <w:szCs w:val="24"/>
        </w:rPr>
        <w:t>Steve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 xml:space="preserve">) 1993. </w:t>
      </w:r>
      <w:r>
        <w:rPr>
          <w:rFonts w:ascii="Times New Roman" w:hAnsi="Times New Roman"/>
          <w:i/>
          <w:sz w:val="24"/>
          <w:szCs w:val="24"/>
        </w:rPr>
        <w:t>Abandonment of Settlements and Regions: Ethno archaeological and Archaeological Approaches.</w:t>
      </w:r>
      <w:smartTag w:uri="urn:schemas-microsoft-com:office:smarttags" w:element="City">
        <w:r>
          <w:rPr>
            <w:rFonts w:ascii="Times New Roman" w:hAnsi="Times New Roman"/>
            <w:sz w:val="24"/>
            <w:szCs w:val="24"/>
          </w:rPr>
          <w:t>Cambridge</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Cambridge</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D669E5" w:rsidRDefault="00D669E5" w:rsidP="00D669E5">
      <w:pPr>
        <w:spacing w:line="240" w:lineRule="auto"/>
        <w:rPr>
          <w:rFonts w:ascii="Times New Roman" w:hAnsi="Times New Roman"/>
          <w:i/>
          <w:sz w:val="24"/>
          <w:szCs w:val="24"/>
        </w:rPr>
      </w:pPr>
      <w:r>
        <w:rPr>
          <w:rFonts w:ascii="Times New Roman" w:hAnsi="Times New Roman"/>
          <w:sz w:val="24"/>
          <w:szCs w:val="24"/>
        </w:rPr>
        <w:t>Conkey, M. and J, Gero 1996.Archaeology and Gender.</w:t>
      </w:r>
      <w:r>
        <w:rPr>
          <w:rFonts w:ascii="Times New Roman" w:hAnsi="Times New Roman"/>
          <w:i/>
          <w:sz w:val="24"/>
          <w:szCs w:val="24"/>
        </w:rPr>
        <w:t>Annual Review of Anthropology 24</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Gero, J and M. Conkey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 xml:space="preserve">) 1991. </w:t>
      </w:r>
      <w:r>
        <w:rPr>
          <w:rFonts w:ascii="Times New Roman" w:hAnsi="Times New Roman"/>
          <w:i/>
          <w:sz w:val="24"/>
          <w:szCs w:val="24"/>
        </w:rPr>
        <w:t>Engendering archaeology: Women and Prehistory.</w:t>
      </w:r>
      <w:smartTag w:uri="urn:schemas-microsoft-com:office:smarttags" w:element="place">
        <w:smartTag w:uri="urn:schemas-microsoft-com:office:smarttags" w:element="City">
          <w:r>
            <w:rPr>
              <w:rFonts w:ascii="Times New Roman" w:hAnsi="Times New Roman"/>
              <w:sz w:val="24"/>
              <w:szCs w:val="24"/>
            </w:rPr>
            <w:t>Oxford</w:t>
          </w:r>
        </w:smartTag>
      </w:smartTag>
      <w:r>
        <w:rPr>
          <w:rFonts w:ascii="Times New Roman" w:hAnsi="Times New Roman"/>
          <w:sz w:val="24"/>
          <w:szCs w:val="24"/>
        </w:rPr>
        <w:t>: Blackwell.</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 xml:space="preserve">Gibbs, L. 1987. Identifying gender representation in the archaeological record: a contextual study, </w:t>
      </w:r>
      <w:proofErr w:type="gramStart"/>
      <w:r>
        <w:rPr>
          <w:rFonts w:ascii="Times New Roman" w:hAnsi="Times New Roman"/>
          <w:sz w:val="24"/>
          <w:szCs w:val="24"/>
        </w:rPr>
        <w:t>I</w:t>
      </w:r>
      <w:r>
        <w:rPr>
          <w:rFonts w:ascii="Times New Roman" w:hAnsi="Times New Roman"/>
          <w:i/>
          <w:sz w:val="24"/>
          <w:szCs w:val="24"/>
        </w:rPr>
        <w:t>n</w:t>
      </w:r>
      <w:proofErr w:type="gramEnd"/>
      <w:r>
        <w:rPr>
          <w:rFonts w:ascii="Times New Roman" w:hAnsi="Times New Roman"/>
          <w:i/>
          <w:sz w:val="24"/>
          <w:szCs w:val="24"/>
        </w:rPr>
        <w:t xml:space="preserve"> the archaeology of contextual meanings</w:t>
      </w:r>
      <w:r>
        <w:rPr>
          <w:rFonts w:ascii="Times New Roman" w:hAnsi="Times New Roman"/>
          <w:sz w:val="24"/>
          <w:szCs w:val="24"/>
        </w:rPr>
        <w:t xml:space="preserve">. Edited by </w:t>
      </w:r>
      <w:r w:rsidR="005712AF">
        <w:rPr>
          <w:rFonts w:ascii="Times New Roman" w:hAnsi="Times New Roman"/>
          <w:sz w:val="24"/>
          <w:szCs w:val="24"/>
        </w:rPr>
        <w:t>Ian Hodder</w:t>
      </w:r>
      <w:r>
        <w:rPr>
          <w:rFonts w:ascii="Times New Roman" w:hAnsi="Times New Roman"/>
          <w:sz w:val="24"/>
          <w:szCs w:val="24"/>
        </w:rPr>
        <w:t xml:space="preserve">. </w:t>
      </w:r>
      <w:smartTag w:uri="urn:schemas-microsoft-com:office:smarttags" w:element="City">
        <w:r>
          <w:rPr>
            <w:rFonts w:ascii="Times New Roman" w:hAnsi="Times New Roman"/>
            <w:sz w:val="24"/>
            <w:szCs w:val="24"/>
          </w:rPr>
          <w:t>Cambridge</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Cambridge</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 xml:space="preserve">Hammarsley, M. 1992. </w:t>
      </w:r>
      <w:r>
        <w:rPr>
          <w:rFonts w:ascii="Times New Roman" w:hAnsi="Times New Roman"/>
          <w:i/>
          <w:sz w:val="24"/>
          <w:szCs w:val="24"/>
        </w:rPr>
        <w:t xml:space="preserve"> What’s wrong with Ethnoarchaeology: Methodological exploration</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Routlledge</w:t>
      </w:r>
    </w:p>
    <w:p w:rsidR="00D669E5" w:rsidRDefault="00D669E5" w:rsidP="00D669E5">
      <w:pPr>
        <w:spacing w:line="240" w:lineRule="auto"/>
        <w:rPr>
          <w:rFonts w:ascii="Times New Roman" w:hAnsi="Times New Roman"/>
          <w:sz w:val="24"/>
          <w:szCs w:val="24"/>
        </w:rPr>
      </w:pPr>
      <w:r>
        <w:rPr>
          <w:rFonts w:ascii="Times New Roman" w:hAnsi="Times New Roman"/>
          <w:sz w:val="24"/>
          <w:szCs w:val="24"/>
        </w:rPr>
        <w:t>Herbert, E. 1993.</w:t>
      </w:r>
      <w:r>
        <w:rPr>
          <w:rFonts w:ascii="Times New Roman" w:hAnsi="Times New Roman"/>
          <w:i/>
          <w:sz w:val="24"/>
          <w:szCs w:val="24"/>
        </w:rPr>
        <w:t>Iron, Gender, and Power.</w:t>
      </w:r>
      <w:smartTag w:uri="urn:schemas-microsoft-com:office:smarttags" w:element="City">
        <w:r>
          <w:rPr>
            <w:rFonts w:ascii="Times New Roman" w:hAnsi="Times New Roman"/>
            <w:sz w:val="24"/>
            <w:szCs w:val="24"/>
          </w:rPr>
          <w:t>Bloomington</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Indiana</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1C3396" w:rsidRDefault="001C3396">
      <w:bookmarkStart w:id="0" w:name="_GoBack"/>
      <w:bookmarkEnd w:id="0"/>
    </w:p>
    <w:sectPr w:rsidR="001C3396" w:rsidSect="00F15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052B0"/>
    <w:multiLevelType w:val="multilevel"/>
    <w:tmpl w:val="CA546E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669E5"/>
    <w:rsid w:val="00050608"/>
    <w:rsid w:val="001668D8"/>
    <w:rsid w:val="001C3396"/>
    <w:rsid w:val="001F160E"/>
    <w:rsid w:val="001F2F3E"/>
    <w:rsid w:val="00275EBF"/>
    <w:rsid w:val="00563212"/>
    <w:rsid w:val="005712AF"/>
    <w:rsid w:val="00745640"/>
    <w:rsid w:val="00867664"/>
    <w:rsid w:val="008F7FC7"/>
    <w:rsid w:val="00970755"/>
    <w:rsid w:val="00A32CE0"/>
    <w:rsid w:val="00BB434B"/>
    <w:rsid w:val="00BF0D71"/>
    <w:rsid w:val="00D669E5"/>
    <w:rsid w:val="00DA19F4"/>
    <w:rsid w:val="00F15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6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6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Company>Microsoft</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2011-07-18T20:55:00Z</dcterms:created>
  <dcterms:modified xsi:type="dcterms:W3CDTF">2014-06-20T22:12:00Z</dcterms:modified>
</cp:coreProperties>
</file>