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7C" w:rsidRDefault="00012D7C" w:rsidP="00012D7C">
      <w:pPr>
        <w:spacing w:line="240" w:lineRule="auto"/>
        <w:jc w:val="both"/>
        <w:rPr>
          <w:rFonts w:ascii="Times New Roman" w:hAnsi="Times New Roman"/>
          <w:b/>
          <w:sz w:val="28"/>
          <w:szCs w:val="28"/>
        </w:rPr>
      </w:pPr>
      <w:r>
        <w:rPr>
          <w:rFonts w:ascii="Times New Roman" w:hAnsi="Times New Roman"/>
          <w:b/>
          <w:sz w:val="28"/>
          <w:szCs w:val="28"/>
        </w:rPr>
        <w:t>AHS 3207 Cultural Heritage and Development</w:t>
      </w:r>
    </w:p>
    <w:p w:rsidR="00012D7C" w:rsidRDefault="00012D7C" w:rsidP="00012D7C">
      <w:pPr>
        <w:spacing w:line="240" w:lineRule="auto"/>
        <w:jc w:val="both"/>
        <w:rPr>
          <w:rFonts w:ascii="Times New Roman" w:hAnsi="Times New Roman"/>
          <w:sz w:val="24"/>
          <w:szCs w:val="24"/>
        </w:rPr>
      </w:pPr>
      <w:r>
        <w:rPr>
          <w:rFonts w:ascii="Times New Roman" w:hAnsi="Times New Roman"/>
          <w:b/>
          <w:sz w:val="24"/>
          <w:szCs w:val="24"/>
        </w:rPr>
        <w:t>Objectives:</w:t>
      </w:r>
      <w:r>
        <w:rPr>
          <w:rFonts w:ascii="Times New Roman" w:hAnsi="Times New Roman"/>
          <w:sz w:val="24"/>
          <w:szCs w:val="24"/>
        </w:rPr>
        <w:t xml:space="preserve"> The course aims at equipping students with values attached to cultural resources, it goes further to create an awareness of the existing conflict between culture and development.</w:t>
      </w:r>
    </w:p>
    <w:p w:rsidR="00012D7C" w:rsidRDefault="00012D7C" w:rsidP="00012D7C">
      <w:pPr>
        <w:spacing w:line="240" w:lineRule="auto"/>
        <w:jc w:val="both"/>
        <w:rPr>
          <w:rFonts w:ascii="Times New Roman" w:hAnsi="Times New Roman"/>
          <w:b/>
          <w:sz w:val="24"/>
          <w:szCs w:val="24"/>
        </w:rPr>
      </w:pPr>
      <w:r>
        <w:rPr>
          <w:rFonts w:ascii="Times New Roman" w:hAnsi="Times New Roman"/>
          <w:b/>
          <w:sz w:val="24"/>
          <w:szCs w:val="24"/>
        </w:rPr>
        <w:t>Course Description</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This course is pertinent to students majoring in Archaeology and Heritage studies and Development studies. It entails a critical analysis of major development projects in the both developed and developing countries. It also examines various ways through which Heritage resources can be reconciled with development projects to achieve sustainable development. AHS 306 also introduces various mitigation measures that can employed to avoid total destruction of sites in favour of development.</w:t>
      </w:r>
    </w:p>
    <w:p w:rsidR="00012D7C" w:rsidRDefault="00012D7C" w:rsidP="00012D7C">
      <w:pPr>
        <w:spacing w:after="120" w:line="240" w:lineRule="auto"/>
        <w:jc w:val="both"/>
        <w:rPr>
          <w:rFonts w:ascii="Times New Roman" w:hAnsi="Times New Roman"/>
          <w:sz w:val="24"/>
          <w:szCs w:val="24"/>
        </w:rPr>
      </w:pPr>
      <w:r>
        <w:rPr>
          <w:rFonts w:ascii="Times New Roman" w:hAnsi="Times New Roman"/>
          <w:b/>
        </w:rPr>
        <w:t xml:space="preserve">Assessment: </w:t>
      </w:r>
      <w:r>
        <w:rPr>
          <w:rFonts w:ascii="Times New Roman" w:hAnsi="Times New Roman"/>
        </w:rPr>
        <w:t>30% Course Work; 70% Examination</w:t>
      </w:r>
    </w:p>
    <w:p w:rsidR="00012D7C" w:rsidRDefault="00012D7C" w:rsidP="00012D7C">
      <w:pPr>
        <w:spacing w:line="240" w:lineRule="auto"/>
        <w:jc w:val="both"/>
        <w:rPr>
          <w:rFonts w:ascii="Times New Roman" w:hAnsi="Times New Roman"/>
          <w:b/>
          <w:sz w:val="24"/>
          <w:szCs w:val="24"/>
        </w:rPr>
      </w:pPr>
      <w:r>
        <w:rPr>
          <w:rFonts w:ascii="Times New Roman" w:hAnsi="Times New Roman"/>
          <w:b/>
          <w:sz w:val="24"/>
          <w:szCs w:val="24"/>
        </w:rPr>
        <w:t>Course Outline</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Topic1: The Concept of Development</w:t>
      </w:r>
    </w:p>
    <w:p w:rsidR="00012D7C" w:rsidRDefault="00012D7C" w:rsidP="00012D7C">
      <w:pPr>
        <w:numPr>
          <w:ilvl w:val="1"/>
          <w:numId w:val="1"/>
        </w:numPr>
        <w:spacing w:line="240" w:lineRule="auto"/>
        <w:jc w:val="both"/>
        <w:rPr>
          <w:rFonts w:ascii="Times New Roman" w:hAnsi="Times New Roman"/>
          <w:sz w:val="24"/>
          <w:szCs w:val="24"/>
        </w:rPr>
      </w:pPr>
      <w:r>
        <w:rPr>
          <w:rFonts w:ascii="Times New Roman" w:hAnsi="Times New Roman"/>
          <w:sz w:val="24"/>
          <w:szCs w:val="24"/>
        </w:rPr>
        <w:t>Definition</w:t>
      </w:r>
    </w:p>
    <w:p w:rsidR="00012D7C" w:rsidRDefault="00012D7C" w:rsidP="00012D7C">
      <w:pPr>
        <w:numPr>
          <w:ilvl w:val="1"/>
          <w:numId w:val="1"/>
        </w:numPr>
        <w:spacing w:line="240" w:lineRule="auto"/>
        <w:jc w:val="both"/>
        <w:rPr>
          <w:rFonts w:ascii="Times New Roman" w:hAnsi="Times New Roman"/>
          <w:sz w:val="24"/>
          <w:szCs w:val="24"/>
        </w:rPr>
      </w:pPr>
      <w:r>
        <w:rPr>
          <w:rFonts w:ascii="Times New Roman" w:hAnsi="Times New Roman"/>
          <w:sz w:val="24"/>
          <w:szCs w:val="24"/>
        </w:rPr>
        <w:t>Indicators of development</w:t>
      </w:r>
    </w:p>
    <w:p w:rsidR="00012D7C" w:rsidRDefault="00012D7C" w:rsidP="00012D7C">
      <w:pPr>
        <w:numPr>
          <w:ilvl w:val="1"/>
          <w:numId w:val="1"/>
        </w:numPr>
        <w:spacing w:line="240" w:lineRule="auto"/>
        <w:jc w:val="both"/>
        <w:rPr>
          <w:rFonts w:ascii="Times New Roman" w:hAnsi="Times New Roman"/>
          <w:sz w:val="24"/>
          <w:szCs w:val="24"/>
        </w:rPr>
      </w:pPr>
      <w:r>
        <w:rPr>
          <w:rFonts w:ascii="Times New Roman" w:hAnsi="Times New Roman"/>
          <w:sz w:val="24"/>
          <w:szCs w:val="24"/>
        </w:rPr>
        <w:t>Heritage for Development</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Topic 2: Local Development Theory</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2.1 Rural Development</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2.2 Heritage site Management</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2.3 Intellectual Property</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2.4 Cultural Heritage and education</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2.5. Valorization of Heritage</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Topic 3: UNESCO</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3.1 History of the Organization</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3.2 Declarations</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3.3 Recommendations</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3.4 Conventions</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Topic 4:  World Heritage Sites</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4.1 Yardstick for nominating world Heritage sites.</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4.2 Benefits of world Heritage Sites to the surrounding populace</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lastRenderedPageBreak/>
        <w:tab/>
        <w:t>4.3 Types of sites</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Topic 5: Cultural Districts</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 xml:space="preserve">5.1 Industrial Cultural Districts </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5.2 Open museum Cultural Districts</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5.3 Institutional Cultural Districts</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5.4 Metropolitan Cultural Districts</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5.5 Clustering and Cluster Theory</w:t>
      </w:r>
    </w:p>
    <w:p w:rsidR="00012D7C" w:rsidRDefault="00012D7C" w:rsidP="00012D7C">
      <w:pPr>
        <w:spacing w:line="240" w:lineRule="auto"/>
        <w:jc w:val="both"/>
        <w:rPr>
          <w:rFonts w:ascii="Times New Roman" w:hAnsi="Times New Roman"/>
          <w:sz w:val="24"/>
          <w:szCs w:val="24"/>
        </w:rPr>
      </w:pPr>
      <w:r>
        <w:rPr>
          <w:rFonts w:ascii="Times New Roman" w:hAnsi="Times New Roman"/>
          <w:sz w:val="24"/>
          <w:szCs w:val="24"/>
        </w:rPr>
        <w:tab/>
        <w:t>5.6 Idiosyncratic Knowledge</w:t>
      </w:r>
    </w:p>
    <w:p w:rsidR="00012D7C" w:rsidRDefault="00012D7C" w:rsidP="00012D7C">
      <w:pPr>
        <w:spacing w:line="240" w:lineRule="auto"/>
        <w:jc w:val="both"/>
        <w:rPr>
          <w:rFonts w:ascii="Times New Roman" w:hAnsi="Times New Roman"/>
          <w:b/>
          <w:sz w:val="24"/>
          <w:szCs w:val="24"/>
        </w:rPr>
      </w:pPr>
      <w:r>
        <w:rPr>
          <w:rFonts w:ascii="Times New Roman" w:hAnsi="Times New Roman"/>
          <w:b/>
          <w:sz w:val="24"/>
          <w:szCs w:val="24"/>
        </w:rPr>
        <w:t xml:space="preserve">Basic </w:t>
      </w:r>
      <w:smartTag w:uri="urn:schemas-microsoft-com:office:smarttags" w:element="place">
        <w:smartTag w:uri="urn:schemas-microsoft-com:office:smarttags" w:element="City">
          <w:r>
            <w:rPr>
              <w:rFonts w:ascii="Times New Roman" w:hAnsi="Times New Roman"/>
              <w:b/>
              <w:sz w:val="24"/>
              <w:szCs w:val="24"/>
            </w:rPr>
            <w:t>Readings</w:t>
          </w:r>
        </w:smartTag>
      </w:smartTag>
    </w:p>
    <w:p w:rsidR="00012D7C" w:rsidRDefault="00012D7C" w:rsidP="00012D7C">
      <w:pPr>
        <w:widowControl w:val="0"/>
        <w:autoSpaceDE w:val="0"/>
        <w:autoSpaceDN w:val="0"/>
        <w:adjustRightInd w:val="0"/>
        <w:spacing w:line="240" w:lineRule="auto"/>
        <w:jc w:val="both"/>
        <w:rPr>
          <w:rFonts w:ascii="Times New Roman" w:hAnsi="Times New Roman"/>
        </w:rPr>
      </w:pPr>
      <w:r>
        <w:rPr>
          <w:rFonts w:ascii="Times New Roman" w:hAnsi="Times New Roman"/>
        </w:rPr>
        <w:t xml:space="preserve">Canibano, L., Garcia. A. 1999, </w:t>
      </w:r>
      <w:r w:rsidR="00982F3C">
        <w:rPr>
          <w:rFonts w:ascii="Times New Roman" w:hAnsi="Times New Roman"/>
          <w:iCs/>
        </w:rPr>
        <w:t>the</w:t>
      </w:r>
      <w:r>
        <w:rPr>
          <w:rFonts w:ascii="Times New Roman" w:hAnsi="Times New Roman"/>
          <w:iCs/>
        </w:rPr>
        <w:t xml:space="preserve"> value relevance and managerial implications of intangibles: aliterature review</w:t>
      </w:r>
      <w:r>
        <w:rPr>
          <w:rFonts w:ascii="Times New Roman" w:hAnsi="Times New Roman"/>
        </w:rPr>
        <w:t>, in Grojer, J.E. and Stolowy</w:t>
      </w:r>
      <w:r w:rsidR="00982F3C">
        <w:rPr>
          <w:rFonts w:ascii="Times New Roman" w:hAnsi="Times New Roman"/>
        </w:rPr>
        <w:t>, H</w:t>
      </w:r>
      <w:r>
        <w:rPr>
          <w:rFonts w:ascii="Times New Roman" w:hAnsi="Times New Roman"/>
        </w:rPr>
        <w:t xml:space="preserve">. (Eds), </w:t>
      </w:r>
      <w:r>
        <w:rPr>
          <w:rFonts w:ascii="Times New Roman" w:hAnsi="Times New Roman"/>
          <w:i/>
          <w:iCs/>
        </w:rPr>
        <w:t>Classification of Intangibles</w:t>
      </w:r>
      <w:r>
        <w:rPr>
          <w:rFonts w:ascii="Times New Roman" w:hAnsi="Times New Roman"/>
        </w:rPr>
        <w:t>, Groupe HEC, Jouy-en-Josas, pp. 78-126.</w:t>
      </w:r>
    </w:p>
    <w:p w:rsidR="00012D7C" w:rsidRDefault="00012D7C" w:rsidP="00012D7C">
      <w:pPr>
        <w:widowControl w:val="0"/>
        <w:autoSpaceDE w:val="0"/>
        <w:autoSpaceDN w:val="0"/>
        <w:adjustRightInd w:val="0"/>
        <w:spacing w:line="240" w:lineRule="auto"/>
        <w:jc w:val="both"/>
        <w:rPr>
          <w:rFonts w:ascii="Times New Roman" w:hAnsi="Times New Roman"/>
        </w:rPr>
      </w:pPr>
      <w:r>
        <w:rPr>
          <w:rFonts w:ascii="Times New Roman" w:hAnsi="Times New Roman"/>
        </w:rPr>
        <w:t xml:space="preserve">Hopwood, A. G. 1987, </w:t>
      </w:r>
      <w:r w:rsidR="00982F3C">
        <w:rPr>
          <w:rFonts w:ascii="Times New Roman" w:hAnsi="Times New Roman"/>
          <w:i/>
          <w:iCs/>
        </w:rPr>
        <w:t>the</w:t>
      </w:r>
      <w:r>
        <w:rPr>
          <w:rFonts w:ascii="Times New Roman" w:hAnsi="Times New Roman"/>
          <w:i/>
          <w:iCs/>
        </w:rPr>
        <w:t xml:space="preserve"> archaeology of accounting systems</w:t>
      </w:r>
      <w:r>
        <w:rPr>
          <w:rFonts w:ascii="Times New Roman" w:hAnsi="Times New Roman"/>
        </w:rPr>
        <w:t>. Accounting, Organizations and Society, 12(3), 207–234.</w:t>
      </w:r>
    </w:p>
    <w:p w:rsidR="00012D7C" w:rsidRDefault="00012D7C" w:rsidP="00012D7C">
      <w:pPr>
        <w:widowControl w:val="0"/>
        <w:autoSpaceDE w:val="0"/>
        <w:autoSpaceDN w:val="0"/>
        <w:adjustRightInd w:val="0"/>
        <w:spacing w:line="240" w:lineRule="auto"/>
        <w:jc w:val="both"/>
        <w:rPr>
          <w:rFonts w:ascii="Times New Roman" w:hAnsi="Times New Roman"/>
        </w:rPr>
      </w:pPr>
      <w:r>
        <w:rPr>
          <w:rFonts w:ascii="Times New Roman" w:hAnsi="Times New Roman"/>
        </w:rPr>
        <w:t>Kotler, N. and Kotler</w:t>
      </w:r>
      <w:proofErr w:type="gramStart"/>
      <w:r>
        <w:rPr>
          <w:rFonts w:ascii="Times New Roman" w:hAnsi="Times New Roman"/>
        </w:rPr>
        <w:t>,  P</w:t>
      </w:r>
      <w:proofErr w:type="gramEnd"/>
      <w:r>
        <w:rPr>
          <w:rFonts w:ascii="Times New Roman" w:hAnsi="Times New Roman"/>
        </w:rPr>
        <w:t xml:space="preserve">. 1998, </w:t>
      </w:r>
      <w:r>
        <w:rPr>
          <w:rFonts w:ascii="Times New Roman" w:hAnsi="Times New Roman"/>
          <w:i/>
        </w:rPr>
        <w:t>Museum strategy and marketing</w:t>
      </w:r>
      <w:r>
        <w:rPr>
          <w:rFonts w:ascii="Times New Roman" w:hAnsi="Times New Roman"/>
        </w:rPr>
        <w:t xml:space="preserve">., </w:t>
      </w:r>
      <w:proofErr w:type="spellStart"/>
      <w:r>
        <w:rPr>
          <w:rFonts w:ascii="Times New Roman" w:hAnsi="Times New Roman"/>
        </w:rPr>
        <w:t>Jossey</w:t>
      </w:r>
      <w:proofErr w:type="spellEnd"/>
      <w:r>
        <w:rPr>
          <w:rFonts w:ascii="Times New Roman" w:hAnsi="Times New Roman"/>
        </w:rPr>
        <w:t xml:space="preserve"> – Bass Inc. Publishers.</w:t>
      </w:r>
    </w:p>
    <w:p w:rsidR="00012D7C" w:rsidRDefault="00012D7C" w:rsidP="00012D7C">
      <w:pPr>
        <w:widowControl w:val="0"/>
        <w:autoSpaceDE w:val="0"/>
        <w:autoSpaceDN w:val="0"/>
        <w:adjustRightInd w:val="0"/>
        <w:spacing w:line="240" w:lineRule="auto"/>
        <w:jc w:val="both"/>
        <w:rPr>
          <w:rFonts w:ascii="Times New Roman" w:hAnsi="Times New Roman"/>
        </w:rPr>
      </w:pPr>
      <w:r>
        <w:rPr>
          <w:rFonts w:ascii="Times New Roman" w:hAnsi="Times New Roman"/>
        </w:rPr>
        <w:t xml:space="preserve">Lev, B. 2001, </w:t>
      </w:r>
      <w:r>
        <w:rPr>
          <w:rFonts w:ascii="Times New Roman" w:hAnsi="Times New Roman"/>
          <w:i/>
          <w:iCs/>
        </w:rPr>
        <w:t>Intangibles. Management, Measurement and Reporting</w:t>
      </w:r>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Brookings Institution,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w:t>
      </w:r>
    </w:p>
    <w:p w:rsidR="00012D7C" w:rsidRDefault="00012D7C" w:rsidP="00012D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European Cultural Tourism Network. 2005. </w:t>
      </w:r>
      <w:smartTag w:uri="urn:schemas-microsoft-com:office:smarttags" w:element="place">
        <w:smartTag w:uri="urn:schemas-microsoft-com:office:smarttags" w:element="City">
          <w:r>
            <w:rPr>
              <w:rFonts w:ascii="Times New Roman" w:hAnsi="Times New Roman"/>
              <w:sz w:val="24"/>
              <w:szCs w:val="24"/>
            </w:rPr>
            <w:t>Cardiff</w:t>
          </w:r>
        </w:smartTag>
      </w:smartTag>
      <w:r>
        <w:rPr>
          <w:rFonts w:ascii="Times New Roman" w:hAnsi="Times New Roman"/>
          <w:sz w:val="24"/>
          <w:szCs w:val="24"/>
        </w:rPr>
        <w:t xml:space="preserve"> Declaration on Cultural Tourism, ECTN.</w:t>
      </w:r>
    </w:p>
    <w:p w:rsidR="00012D7C" w:rsidRDefault="00012D7C" w:rsidP="00012D7C">
      <w:pPr>
        <w:autoSpaceDE w:val="0"/>
        <w:autoSpaceDN w:val="0"/>
        <w:adjustRightInd w:val="0"/>
        <w:spacing w:after="0" w:line="240" w:lineRule="auto"/>
        <w:jc w:val="both"/>
        <w:rPr>
          <w:rFonts w:ascii="Times New Roman" w:hAnsi="Times New Roman"/>
          <w:sz w:val="24"/>
          <w:szCs w:val="24"/>
        </w:rPr>
      </w:pPr>
    </w:p>
    <w:p w:rsidR="00012D7C" w:rsidRDefault="00012D7C" w:rsidP="00012D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ICOM. 2000.  Proposal for a Charter of Principles for Museums and Cultural Heritage, ICOM.</w:t>
      </w:r>
    </w:p>
    <w:p w:rsidR="00012D7C" w:rsidRDefault="00012D7C" w:rsidP="00012D7C">
      <w:pPr>
        <w:autoSpaceDE w:val="0"/>
        <w:autoSpaceDN w:val="0"/>
        <w:adjustRightInd w:val="0"/>
        <w:spacing w:after="0" w:line="240" w:lineRule="auto"/>
        <w:jc w:val="both"/>
        <w:rPr>
          <w:rFonts w:ascii="Times New Roman" w:hAnsi="Times New Roman"/>
          <w:sz w:val="24"/>
          <w:szCs w:val="24"/>
        </w:rPr>
      </w:pPr>
    </w:p>
    <w:p w:rsidR="00012D7C" w:rsidRDefault="00012D7C" w:rsidP="00012D7C">
      <w:pPr>
        <w:spacing w:line="240" w:lineRule="auto"/>
        <w:jc w:val="both"/>
        <w:rPr>
          <w:rFonts w:ascii="Times New Roman" w:hAnsi="Times New Roman"/>
        </w:rPr>
      </w:pPr>
      <w:r>
        <w:rPr>
          <w:rFonts w:ascii="Times New Roman" w:hAnsi="Times New Roman"/>
          <w:sz w:val="24"/>
          <w:szCs w:val="24"/>
        </w:rPr>
        <w:t xml:space="preserve">National Trust for Historic Preservation. 2005. </w:t>
      </w:r>
      <w:r>
        <w:rPr>
          <w:rFonts w:ascii="Times New Roman" w:hAnsi="Times New Roman"/>
          <w:sz w:val="20"/>
          <w:szCs w:val="20"/>
        </w:rPr>
        <w:t>Cultural Heritage Tourism Fact Sheet</w:t>
      </w:r>
    </w:p>
    <w:p w:rsidR="001C3396" w:rsidRDefault="001C3396">
      <w:bookmarkStart w:id="0" w:name="_GoBack"/>
      <w:bookmarkEnd w:id="0"/>
    </w:p>
    <w:sectPr w:rsidR="001C3396" w:rsidSect="00A25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D3981"/>
    <w:multiLevelType w:val="multilevel"/>
    <w:tmpl w:val="92A8B6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12D7C"/>
    <w:rsid w:val="00012D7C"/>
    <w:rsid w:val="00050608"/>
    <w:rsid w:val="001668D8"/>
    <w:rsid w:val="001C3396"/>
    <w:rsid w:val="001F160E"/>
    <w:rsid w:val="001F2F3E"/>
    <w:rsid w:val="00275EBF"/>
    <w:rsid w:val="00563212"/>
    <w:rsid w:val="00745640"/>
    <w:rsid w:val="00822069"/>
    <w:rsid w:val="00867664"/>
    <w:rsid w:val="008F7FC7"/>
    <w:rsid w:val="00970755"/>
    <w:rsid w:val="00982F3C"/>
    <w:rsid w:val="00A25580"/>
    <w:rsid w:val="00A32CE0"/>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361</Words>
  <Characters>2061</Characters>
  <Application>Microsoft Office Word</Application>
  <DocSecurity>0</DocSecurity>
  <Lines>17</Lines>
  <Paragraphs>4</Paragraphs>
  <ScaleCrop>false</ScaleCrop>
  <Company>Microsoft</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2011-07-18T20:59:00Z</dcterms:created>
  <dcterms:modified xsi:type="dcterms:W3CDTF">2014-06-23T18:18:00Z</dcterms:modified>
</cp:coreProperties>
</file>