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C8" w:rsidRPr="00F737BB" w:rsidRDefault="00451FC8" w:rsidP="00451FC8">
      <w:pPr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ARI 1103 GENDER AND OTHER SOCIO-ECONOMIC ISSUES IN DEVELOPMENT</w:t>
      </w:r>
    </w:p>
    <w:p w:rsidR="00451FC8" w:rsidRPr="00F737BB" w:rsidRDefault="00451FC8" w:rsidP="00451FC8">
      <w:pPr>
        <w:rPr>
          <w:rFonts w:ascii="Arial Narrow" w:hAnsi="Arial Narrow"/>
          <w:color w:val="000000"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b/>
          <w:i/>
          <w:sz w:val="22"/>
          <w:szCs w:val="22"/>
        </w:rPr>
        <w:t>Instructor:</w:t>
      </w:r>
      <w:r w:rsidRPr="00F737BB">
        <w:rPr>
          <w:rFonts w:ascii="Arial Narrow" w:hAnsi="Arial Narrow"/>
          <w:sz w:val="22"/>
          <w:szCs w:val="22"/>
        </w:rPr>
        <w:t xml:space="preserve"> Dr Margaret </w:t>
      </w:r>
      <w:proofErr w:type="spellStart"/>
      <w:r w:rsidRPr="00F737BB">
        <w:rPr>
          <w:rFonts w:ascii="Arial Narrow" w:hAnsi="Arial Narrow"/>
          <w:sz w:val="22"/>
          <w:szCs w:val="22"/>
        </w:rPr>
        <w:t>Najjingo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737BB">
        <w:rPr>
          <w:rFonts w:ascii="Arial Narrow" w:hAnsi="Arial Narrow"/>
          <w:sz w:val="22"/>
          <w:szCs w:val="22"/>
        </w:rPr>
        <w:t>Mangheni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 (BSC. Agric, </w:t>
      </w:r>
      <w:proofErr w:type="spellStart"/>
      <w:r w:rsidRPr="00F737BB">
        <w:rPr>
          <w:rFonts w:ascii="Arial Narrow" w:hAnsi="Arial Narrow"/>
          <w:sz w:val="22"/>
          <w:szCs w:val="22"/>
        </w:rPr>
        <w:t>MSc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 Agric. Education, PhD (Agric Extension)</w:t>
      </w:r>
    </w:p>
    <w:p w:rsidR="00451FC8" w:rsidRPr="00F737BB" w:rsidRDefault="00451FC8" w:rsidP="00451FC8">
      <w:pPr>
        <w:rPr>
          <w:rFonts w:ascii="Arial Narrow" w:hAnsi="Arial Narrow"/>
          <w:b/>
          <w:color w:val="000000"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Course Type</w:t>
      </w:r>
      <w:r w:rsidRPr="00F737BB">
        <w:rPr>
          <w:rFonts w:ascii="Arial Narrow" w:hAnsi="Arial Narrow"/>
          <w:color w:val="000000"/>
          <w:sz w:val="22"/>
          <w:szCs w:val="22"/>
        </w:rPr>
        <w:t>: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b/>
          <w:color w:val="000000"/>
          <w:sz w:val="22"/>
          <w:szCs w:val="22"/>
        </w:rPr>
        <w:t>CORE (Bachelor of Agricultural and Rural Innovations)</w:t>
      </w:r>
    </w:p>
    <w:p w:rsidR="00451FC8" w:rsidRPr="00F737BB" w:rsidRDefault="00451FC8" w:rsidP="00451FC8">
      <w:pPr>
        <w:rPr>
          <w:rFonts w:ascii="Arial Narrow" w:hAnsi="Arial Narrow"/>
          <w:color w:val="000000"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1. COURSE DESCRIPTION</w:t>
      </w:r>
    </w:p>
    <w:p w:rsidR="00451FC8" w:rsidRPr="00F737BB" w:rsidRDefault="00451FC8" w:rsidP="00451FC8">
      <w:pPr>
        <w:rPr>
          <w:rFonts w:ascii="Arial Narrow" w:hAnsi="Arial Narrow"/>
          <w:b/>
          <w:color w:val="000000"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Course Credits (CU)</w:t>
      </w:r>
      <w:r w:rsidRPr="00F737BB">
        <w:rPr>
          <w:rFonts w:ascii="Arial Narrow" w:hAnsi="Arial Narrow"/>
          <w:color w:val="000000"/>
          <w:sz w:val="22"/>
          <w:szCs w:val="22"/>
        </w:rPr>
        <w:t>: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b/>
          <w:color w:val="000000"/>
          <w:sz w:val="22"/>
          <w:szCs w:val="22"/>
        </w:rPr>
        <w:t>3 CU i.e. 45 Contact Hours per semester</w:t>
      </w:r>
    </w:p>
    <w:p w:rsidR="00451FC8" w:rsidRPr="00F737BB" w:rsidRDefault="00451FC8" w:rsidP="00451FC8">
      <w:pPr>
        <w:rPr>
          <w:rFonts w:ascii="Arial Narrow" w:hAnsi="Arial Narrow"/>
          <w:color w:val="000000"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Course Duration</w:t>
      </w:r>
      <w:r w:rsidRPr="00F737BB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F737BB">
        <w:rPr>
          <w:rFonts w:ascii="Arial Narrow" w:hAnsi="Arial Narrow"/>
          <w:b/>
          <w:color w:val="000000"/>
          <w:sz w:val="22"/>
          <w:szCs w:val="22"/>
        </w:rPr>
        <w:t>15 weeks (45 hours) i.e. 30 LH, 30 TH</w:t>
      </w:r>
    </w:p>
    <w:p w:rsidR="00451FC8" w:rsidRPr="00F737BB" w:rsidRDefault="00451FC8" w:rsidP="00451FC8">
      <w:pPr>
        <w:rPr>
          <w:rFonts w:ascii="Arial Narrow" w:hAnsi="Arial Narrow"/>
          <w:sz w:val="22"/>
          <w:szCs w:val="22"/>
        </w:rPr>
      </w:pPr>
    </w:p>
    <w:p w:rsidR="00BD383E" w:rsidRDefault="00451FC8" w:rsidP="00451FC8">
      <w:pPr>
        <w:rPr>
          <w:rFonts w:ascii="Arial Narrow" w:hAnsi="Arial Narrow"/>
          <w:b/>
          <w:i/>
          <w:sz w:val="22"/>
          <w:szCs w:val="22"/>
        </w:rPr>
      </w:pPr>
      <w:r w:rsidRPr="00F737BB">
        <w:rPr>
          <w:rFonts w:ascii="Arial Narrow" w:hAnsi="Arial Narrow"/>
          <w:b/>
          <w:i/>
          <w:sz w:val="22"/>
          <w:szCs w:val="22"/>
        </w:rPr>
        <w:t xml:space="preserve">Course description: </w:t>
      </w:r>
    </w:p>
    <w:p w:rsidR="00451FC8" w:rsidRPr="00F737BB" w:rsidRDefault="00451FC8" w:rsidP="00451FC8">
      <w:pPr>
        <w:rPr>
          <w:rFonts w:ascii="Arial Narrow" w:hAnsi="Arial Narrow"/>
          <w:b/>
          <w:i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 xml:space="preserve">The importance of integrating crosscutting issues in development. Concepts and relevance of various crosscutting issues in agricultural and rural development (including gender, environment, HIV/AIDS). Environment, HIV/AIDS, gender and social diversity issues in agriculture and rural development. Gender approaches to development. </w:t>
      </w:r>
      <w:proofErr w:type="gramStart"/>
      <w:r w:rsidRPr="00F737BB">
        <w:rPr>
          <w:rFonts w:ascii="Arial Narrow" w:hAnsi="Arial Narrow"/>
          <w:color w:val="000000"/>
          <w:sz w:val="22"/>
          <w:szCs w:val="22"/>
        </w:rPr>
        <w:t>Challenges and lessons in integrating cross cutting issues in development through analysis of case studies of projects and programs.</w:t>
      </w:r>
      <w:proofErr w:type="gramEnd"/>
      <w:r w:rsidRPr="00F737BB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gramStart"/>
      <w:r w:rsidRPr="00F737BB">
        <w:rPr>
          <w:rFonts w:ascii="Arial Narrow" w:hAnsi="Arial Narrow"/>
          <w:color w:val="000000"/>
          <w:sz w:val="22"/>
          <w:szCs w:val="22"/>
        </w:rPr>
        <w:t>Gender analysis and integration of gender, environment, and HIV/AIDS in agricultural service delivery.</w:t>
      </w:r>
      <w:proofErr w:type="gramEnd"/>
      <w:r w:rsidRPr="00F737BB">
        <w:rPr>
          <w:rFonts w:ascii="Arial Narrow" w:hAnsi="Arial Narrow"/>
          <w:color w:val="000000"/>
          <w:sz w:val="22"/>
          <w:szCs w:val="22"/>
        </w:rPr>
        <w:t xml:space="preserve">  </w:t>
      </w:r>
    </w:p>
    <w:p w:rsidR="00451FC8" w:rsidRPr="00F737BB" w:rsidRDefault="00451FC8" w:rsidP="00451FC8">
      <w:pPr>
        <w:rPr>
          <w:rFonts w:ascii="Arial Narrow" w:hAnsi="Arial Narrow"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b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>2. COURSE OBJECTIVES:</w:t>
      </w:r>
    </w:p>
    <w:p w:rsidR="00451FC8" w:rsidRPr="00F737BB" w:rsidRDefault="00451FC8" w:rsidP="00451FC8">
      <w:pPr>
        <w:rPr>
          <w:rFonts w:ascii="Arial Narrow" w:hAnsi="Arial Narrow"/>
          <w:b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b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The </w:t>
      </w:r>
      <w:r w:rsidRPr="00F737BB">
        <w:rPr>
          <w:rFonts w:ascii="Arial Narrow" w:hAnsi="Arial Narrow"/>
          <w:b/>
          <w:sz w:val="22"/>
          <w:szCs w:val="22"/>
        </w:rPr>
        <w:t xml:space="preserve">overall </w:t>
      </w:r>
      <w:proofErr w:type="gramStart"/>
      <w:r w:rsidRPr="00F737BB">
        <w:rPr>
          <w:rFonts w:ascii="Arial Narrow" w:hAnsi="Arial Narrow"/>
          <w:b/>
          <w:sz w:val="22"/>
          <w:szCs w:val="22"/>
        </w:rPr>
        <w:t>objective</w:t>
      </w:r>
      <w:r w:rsidRPr="00F737BB">
        <w:rPr>
          <w:rFonts w:ascii="Arial Narrow" w:hAnsi="Arial Narrow"/>
          <w:sz w:val="22"/>
          <w:szCs w:val="22"/>
        </w:rPr>
        <w:t xml:space="preserve"> of the course is </w:t>
      </w:r>
      <w:proofErr w:type="spellStart"/>
      <w:r w:rsidRPr="00F737BB">
        <w:rPr>
          <w:rFonts w:ascii="Arial Narrow" w:hAnsi="Arial Narrow"/>
          <w:sz w:val="22"/>
          <w:szCs w:val="22"/>
        </w:rPr>
        <w:t>toraise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 students’ awareness about the relevance and importance of selected crosscutting issues, namely, gender, HIV/AIDS, and environment in agricultural and rural development and equip</w:t>
      </w:r>
      <w:proofErr w:type="gramEnd"/>
      <w:r w:rsidRPr="00F737BB">
        <w:rPr>
          <w:rFonts w:ascii="Arial Narrow" w:hAnsi="Arial Narrow"/>
          <w:sz w:val="22"/>
          <w:szCs w:val="22"/>
        </w:rPr>
        <w:t xml:space="preserve"> them with skills to integrate the issues in agricultural service delivery.</w:t>
      </w:r>
    </w:p>
    <w:p w:rsidR="00451FC8" w:rsidRPr="00F737BB" w:rsidRDefault="00451FC8" w:rsidP="00451FC8">
      <w:pPr>
        <w:rPr>
          <w:rFonts w:ascii="Arial Narrow" w:hAnsi="Arial Narrow"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b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 xml:space="preserve">The specific objectives </w:t>
      </w:r>
      <w:r w:rsidRPr="00F737BB">
        <w:rPr>
          <w:rFonts w:ascii="Arial Narrow" w:hAnsi="Arial Narrow"/>
          <w:sz w:val="22"/>
          <w:szCs w:val="22"/>
        </w:rPr>
        <w:t xml:space="preserve">are to enable students: </w:t>
      </w:r>
    </w:p>
    <w:p w:rsidR="00451FC8" w:rsidRPr="00F737BB" w:rsidRDefault="00451FC8" w:rsidP="00451FC8">
      <w:pPr>
        <w:ind w:left="540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1. Define concepts related to gender, environment, HIV/AIDS and development  </w:t>
      </w:r>
    </w:p>
    <w:p w:rsidR="00451FC8" w:rsidRPr="00F737BB" w:rsidRDefault="00451FC8" w:rsidP="00451FC8">
      <w:pPr>
        <w:ind w:left="540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2. Explain the relevance of gender and social diversity, environment, HIV/AIDS to agricultural development</w:t>
      </w:r>
    </w:p>
    <w:p w:rsidR="00451FC8" w:rsidRPr="00F737BB" w:rsidRDefault="00451FC8" w:rsidP="00451FC8">
      <w:pPr>
        <w:ind w:left="540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3. Explain the historical roots and evolution of gender and development theories and approaches</w:t>
      </w:r>
    </w:p>
    <w:p w:rsidR="00451FC8" w:rsidRPr="00F737BB" w:rsidRDefault="00451FC8" w:rsidP="00451FC8">
      <w:pPr>
        <w:ind w:left="540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4. Conduct a gender analysis </w:t>
      </w:r>
    </w:p>
    <w:p w:rsidR="00451FC8" w:rsidRPr="00F737BB" w:rsidRDefault="00451FC8" w:rsidP="00451FC8">
      <w:pPr>
        <w:ind w:left="540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5. Integrate gender, environment, and HIV/AIDS issues in agricultural development interventions.</w:t>
      </w:r>
    </w:p>
    <w:p w:rsidR="00451FC8" w:rsidRPr="00F737BB" w:rsidRDefault="00451FC8" w:rsidP="00451FC8">
      <w:pPr>
        <w:ind w:left="360"/>
        <w:rPr>
          <w:rFonts w:ascii="Arial Narrow" w:hAnsi="Arial Narrow"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b/>
          <w:sz w:val="22"/>
          <w:szCs w:val="22"/>
        </w:rPr>
      </w:pPr>
      <w:r w:rsidRPr="00F737BB">
        <w:rPr>
          <w:rFonts w:ascii="Arial Narrow" w:hAnsi="Arial Narrow"/>
          <w:b/>
          <w:sz w:val="22"/>
          <w:szCs w:val="22"/>
        </w:rPr>
        <w:t xml:space="preserve">3. RECOMMENDED 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b/>
              <w:sz w:val="22"/>
              <w:szCs w:val="22"/>
            </w:rPr>
            <w:t>READING</w:t>
          </w:r>
        </w:smartTag>
      </w:smartTag>
      <w:r w:rsidRPr="00F737BB">
        <w:rPr>
          <w:rFonts w:ascii="Arial Narrow" w:hAnsi="Arial Narrow"/>
          <w:b/>
          <w:sz w:val="22"/>
          <w:szCs w:val="22"/>
        </w:rPr>
        <w:t xml:space="preserve"> MATERIALS</w:t>
      </w:r>
    </w:p>
    <w:p w:rsidR="00451FC8" w:rsidRPr="00F737BB" w:rsidRDefault="00451FC8" w:rsidP="00451FC8">
      <w:pPr>
        <w:rPr>
          <w:rFonts w:ascii="Arial Narrow" w:hAnsi="Arial Narrow"/>
          <w:b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F737BB">
        <w:rPr>
          <w:rFonts w:ascii="Arial Narrow" w:hAnsi="Arial Narrow"/>
          <w:sz w:val="22"/>
          <w:szCs w:val="22"/>
        </w:rPr>
        <w:t>Bekele</w:t>
      </w:r>
      <w:proofErr w:type="spellEnd"/>
      <w:r w:rsidRPr="00F737BB">
        <w:rPr>
          <w:rFonts w:ascii="Arial Narrow" w:hAnsi="Arial Narrow"/>
          <w:sz w:val="22"/>
          <w:szCs w:val="22"/>
        </w:rPr>
        <w:t>, F. (1997).</w:t>
      </w:r>
      <w:proofErr w:type="gramEnd"/>
      <w:r w:rsidRPr="00F737BB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F737BB">
        <w:rPr>
          <w:rFonts w:ascii="Arial Narrow" w:hAnsi="Arial Narrow"/>
          <w:sz w:val="22"/>
          <w:szCs w:val="22"/>
          <w:u w:val="single"/>
        </w:rPr>
        <w:t>The gender dimension in development projects.</w:t>
      </w:r>
      <w:proofErr w:type="gramEnd"/>
      <w:r w:rsidRPr="00F737BB">
        <w:rPr>
          <w:rFonts w:ascii="Arial Narrow" w:hAnsi="Arial Narrow"/>
          <w:sz w:val="22"/>
          <w:szCs w:val="22"/>
          <w:u w:val="single"/>
        </w:rPr>
        <w:t xml:space="preserve"> Concepts, approaches, and framework for gender </w:t>
      </w:r>
      <w:proofErr w:type="spellStart"/>
      <w:r w:rsidRPr="00F737BB">
        <w:rPr>
          <w:rFonts w:ascii="Arial Narrow" w:hAnsi="Arial Narrow"/>
          <w:sz w:val="22"/>
          <w:szCs w:val="22"/>
          <w:u w:val="single"/>
        </w:rPr>
        <w:t>analysis.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sz w:val="22"/>
              <w:szCs w:val="22"/>
            </w:rPr>
            <w:t>Addis</w:t>
          </w:r>
          <w:proofErr w:type="spellEnd"/>
          <w:r w:rsidRPr="00F737BB">
            <w:rPr>
              <w:rFonts w:ascii="Arial Narrow" w:hAnsi="Arial Narrow"/>
              <w:sz w:val="22"/>
              <w:szCs w:val="22"/>
            </w:rPr>
            <w:t xml:space="preserve"> Ababa</w:t>
          </w:r>
        </w:smartTag>
        <w:r w:rsidRPr="00F737BB">
          <w:rPr>
            <w:rFonts w:ascii="Arial Narrow" w:hAnsi="Arial Narrow"/>
            <w:sz w:val="22"/>
            <w:szCs w:val="22"/>
          </w:rPr>
          <w:t xml:space="preserve">, </w:t>
        </w:r>
        <w:proofErr w:type="spellStart"/>
        <w:smartTag w:uri="urn:schemas-microsoft-com:office:smarttags" w:element="country-region">
          <w:r w:rsidRPr="00F737BB">
            <w:rPr>
              <w:rFonts w:ascii="Arial Narrow" w:hAnsi="Arial Narrow"/>
              <w:sz w:val="22"/>
              <w:szCs w:val="22"/>
            </w:rPr>
            <w:t>Ethiopia</w:t>
          </w:r>
        </w:smartTag>
      </w:smartTag>
      <w:proofErr w:type="gramStart"/>
      <w:r w:rsidRPr="00F737BB">
        <w:rPr>
          <w:rFonts w:ascii="Arial Narrow" w:hAnsi="Arial Narrow"/>
          <w:sz w:val="22"/>
          <w:szCs w:val="22"/>
        </w:rPr>
        <w:t>:OSSREA</w:t>
      </w:r>
      <w:proofErr w:type="spellEnd"/>
      <w:proofErr w:type="gramEnd"/>
      <w:r w:rsidRPr="00F737BB">
        <w:rPr>
          <w:rFonts w:ascii="Arial Narrow" w:hAnsi="Arial Narrow"/>
          <w:sz w:val="22"/>
          <w:szCs w:val="22"/>
        </w:rPr>
        <w:t>.</w:t>
      </w:r>
    </w:p>
    <w:p w:rsidR="00451FC8" w:rsidRPr="00F737BB" w:rsidRDefault="00451FC8" w:rsidP="00451FC8">
      <w:pPr>
        <w:rPr>
          <w:rFonts w:ascii="Arial Narrow" w:hAnsi="Arial Narrow"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March, C., </w:t>
      </w:r>
      <w:proofErr w:type="spellStart"/>
      <w:r w:rsidRPr="00F737BB">
        <w:rPr>
          <w:rFonts w:ascii="Arial Narrow" w:hAnsi="Arial Narrow"/>
          <w:sz w:val="22"/>
          <w:szCs w:val="22"/>
        </w:rPr>
        <w:t>Smyth</w:t>
      </w:r>
      <w:proofErr w:type="gramStart"/>
      <w:r w:rsidRPr="00F737BB">
        <w:rPr>
          <w:rFonts w:ascii="Arial Narrow" w:hAnsi="Arial Narrow"/>
          <w:sz w:val="22"/>
          <w:szCs w:val="22"/>
        </w:rPr>
        <w:t>,</w:t>
      </w:r>
      <w:smartTag w:uri="urn:schemas-microsoft-com:office:smarttags" w:element="place">
        <w:r w:rsidRPr="00F737BB">
          <w:rPr>
            <w:rFonts w:ascii="Arial Narrow" w:hAnsi="Arial Narrow"/>
            <w:sz w:val="22"/>
            <w:szCs w:val="22"/>
          </w:rPr>
          <w:t>I</w:t>
        </w:r>
        <w:proofErr w:type="spellEnd"/>
        <w:proofErr w:type="gramEnd"/>
        <w:r w:rsidRPr="00F737BB">
          <w:rPr>
            <w:rFonts w:ascii="Arial Narrow" w:hAnsi="Arial Narrow"/>
            <w:sz w:val="22"/>
            <w:szCs w:val="22"/>
          </w:rPr>
          <w:t>.</w:t>
        </w:r>
      </w:smartTag>
      <w:r w:rsidRPr="00F737BB">
        <w:rPr>
          <w:rFonts w:ascii="Arial Narrow" w:hAnsi="Arial Narrow"/>
          <w:sz w:val="22"/>
          <w:szCs w:val="22"/>
        </w:rPr>
        <w:t xml:space="preserve"> and </w:t>
      </w:r>
      <w:proofErr w:type="spellStart"/>
      <w:r w:rsidRPr="00F737BB">
        <w:rPr>
          <w:rFonts w:ascii="Arial Narrow" w:hAnsi="Arial Narrow"/>
          <w:sz w:val="22"/>
          <w:szCs w:val="22"/>
        </w:rPr>
        <w:t>Mukhopadhyay,M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. (1999). </w:t>
      </w:r>
      <w:r w:rsidRPr="00F737BB">
        <w:rPr>
          <w:rFonts w:ascii="Arial Narrow" w:hAnsi="Arial Narrow"/>
          <w:sz w:val="22"/>
          <w:szCs w:val="22"/>
          <w:u w:val="single"/>
        </w:rPr>
        <w:t xml:space="preserve">A guide to gender analysis </w:t>
      </w:r>
      <w:proofErr w:type="spellStart"/>
      <w:r w:rsidRPr="00F737BB">
        <w:rPr>
          <w:rFonts w:ascii="Arial Narrow" w:hAnsi="Arial Narrow"/>
          <w:sz w:val="22"/>
          <w:szCs w:val="22"/>
          <w:u w:val="single"/>
        </w:rPr>
        <w:t>frameworks.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sz w:val="22"/>
              <w:szCs w:val="22"/>
            </w:rPr>
            <w:t>Oxford</w:t>
          </w:r>
        </w:smartTag>
      </w:smartTag>
      <w:proofErr w:type="spellEnd"/>
      <w:r w:rsidRPr="00F737BB">
        <w:rPr>
          <w:rFonts w:ascii="Arial Narrow" w:hAnsi="Arial Narrow"/>
          <w:sz w:val="22"/>
          <w:szCs w:val="22"/>
        </w:rPr>
        <w:t>: Oxfam GB.</w:t>
      </w:r>
    </w:p>
    <w:p w:rsidR="00451FC8" w:rsidRPr="00F737BB" w:rsidRDefault="00451FC8" w:rsidP="00451FC8">
      <w:pPr>
        <w:rPr>
          <w:rFonts w:ascii="Arial Narrow" w:hAnsi="Arial Narrow"/>
          <w:bCs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sz w:val="22"/>
          <w:szCs w:val="22"/>
        </w:rPr>
      </w:pPr>
      <w:proofErr w:type="spellStart"/>
      <w:r w:rsidRPr="00F737BB">
        <w:rPr>
          <w:rFonts w:ascii="Arial Narrow" w:hAnsi="Arial Narrow"/>
          <w:bCs/>
          <w:sz w:val="22"/>
          <w:szCs w:val="22"/>
        </w:rPr>
        <w:t>Mangheni</w:t>
      </w:r>
      <w:proofErr w:type="spellEnd"/>
      <w:r w:rsidRPr="00F737BB">
        <w:rPr>
          <w:rFonts w:ascii="Arial Narrow" w:hAnsi="Arial Narrow"/>
          <w:bCs/>
          <w:sz w:val="22"/>
          <w:szCs w:val="22"/>
        </w:rPr>
        <w:t>, M.N. (</w:t>
      </w:r>
      <w:proofErr w:type="spellStart"/>
      <w:proofErr w:type="gramStart"/>
      <w:r w:rsidRPr="00F737BB">
        <w:rPr>
          <w:rFonts w:ascii="Arial Narrow" w:hAnsi="Arial Narrow"/>
          <w:bCs/>
          <w:sz w:val="22"/>
          <w:szCs w:val="22"/>
        </w:rPr>
        <w:t>ed</w:t>
      </w:r>
      <w:proofErr w:type="spellEnd"/>
      <w:proofErr w:type="gramEnd"/>
      <w:r w:rsidRPr="00F737BB">
        <w:rPr>
          <w:rFonts w:ascii="Arial Narrow" w:hAnsi="Arial Narrow"/>
          <w:bCs/>
          <w:sz w:val="22"/>
          <w:szCs w:val="22"/>
        </w:rPr>
        <w:t xml:space="preserve">). (2007) </w:t>
      </w:r>
      <w:r w:rsidRPr="00F737BB">
        <w:rPr>
          <w:rFonts w:ascii="Arial Narrow" w:hAnsi="Arial Narrow"/>
          <w:bCs/>
          <w:sz w:val="22"/>
          <w:szCs w:val="22"/>
          <w:u w:val="single"/>
        </w:rPr>
        <w:t>E</w:t>
      </w:r>
      <w:r w:rsidRPr="00F737BB">
        <w:rPr>
          <w:rFonts w:ascii="Arial Narrow" w:hAnsi="Arial Narrow"/>
          <w:sz w:val="22"/>
          <w:szCs w:val="22"/>
          <w:u w:val="single"/>
        </w:rPr>
        <w:t xml:space="preserve">xperiences, innovations and issues in agricultural extension in </w:t>
      </w:r>
      <w:smartTag w:uri="urn:schemas-microsoft-com:office:smarttags" w:element="place">
        <w:smartTag w:uri="urn:schemas-microsoft-com:office:smarttags" w:element="country-region">
          <w:r w:rsidRPr="00F737BB">
            <w:rPr>
              <w:rFonts w:ascii="Arial Narrow" w:hAnsi="Arial Narrow"/>
              <w:sz w:val="22"/>
              <w:szCs w:val="22"/>
              <w:u w:val="single"/>
            </w:rPr>
            <w:t>Uganda</w:t>
          </w:r>
        </w:smartTag>
      </w:smartTag>
      <w:r w:rsidRPr="00F737BB">
        <w:rPr>
          <w:rFonts w:ascii="Arial Narrow" w:hAnsi="Arial Narrow"/>
          <w:sz w:val="22"/>
          <w:szCs w:val="22"/>
          <w:u w:val="single"/>
        </w:rPr>
        <w:t>: lessons prospects.</w:t>
      </w:r>
      <w:r w:rsidRPr="00F737BB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F737BB">
        <w:rPr>
          <w:rFonts w:ascii="Arial Narrow" w:hAnsi="Arial Narrow"/>
          <w:sz w:val="22"/>
          <w:szCs w:val="22"/>
        </w:rPr>
        <w:t>Chapters 8 &amp; 9.</w:t>
      </w:r>
      <w:proofErr w:type="gramEnd"/>
      <w:r w:rsidRPr="00F737BB">
        <w:rPr>
          <w:rFonts w:ascii="Arial Narrow" w:hAnsi="Arial Narrow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sz w:val="22"/>
              <w:szCs w:val="22"/>
            </w:rPr>
            <w:t>Kampala</w:t>
          </w:r>
        </w:smartTag>
        <w:r w:rsidRPr="00F737BB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country-region">
          <w:r w:rsidRPr="00F737BB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F737BB">
        <w:rPr>
          <w:rFonts w:ascii="Arial Narrow" w:hAnsi="Arial Narrow"/>
          <w:sz w:val="22"/>
          <w:szCs w:val="22"/>
        </w:rPr>
        <w:t>: Fountain Publishers.</w:t>
      </w:r>
    </w:p>
    <w:p w:rsidR="00451FC8" w:rsidRPr="00F737BB" w:rsidRDefault="00451FC8" w:rsidP="00451FC8">
      <w:pPr>
        <w:rPr>
          <w:rFonts w:ascii="Arial Narrow" w:hAnsi="Arial Narrow"/>
          <w:b/>
          <w:i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sz w:val="22"/>
          <w:szCs w:val="22"/>
        </w:rPr>
      </w:pPr>
      <w:proofErr w:type="gramStart"/>
      <w:r w:rsidRPr="00F737BB">
        <w:rPr>
          <w:rFonts w:ascii="Arial Narrow" w:hAnsi="Arial Narrow"/>
          <w:sz w:val="22"/>
          <w:szCs w:val="22"/>
        </w:rPr>
        <w:t>National Agricultural Advisory Services (NAADS) (2004).</w:t>
      </w:r>
      <w:proofErr w:type="gramEnd"/>
      <w:r w:rsidRPr="00F737BB">
        <w:rPr>
          <w:rFonts w:ascii="Arial Narrow" w:hAnsi="Arial Narrow"/>
          <w:sz w:val="22"/>
          <w:szCs w:val="22"/>
        </w:rPr>
        <w:t xml:space="preserve"> </w:t>
      </w:r>
      <w:r w:rsidRPr="00F737BB">
        <w:rPr>
          <w:rFonts w:ascii="Arial Narrow" w:hAnsi="Arial Narrow"/>
          <w:sz w:val="22"/>
          <w:szCs w:val="22"/>
          <w:u w:val="single"/>
        </w:rPr>
        <w:t xml:space="preserve">HIV/AIDS resource guide for extension </w:t>
      </w:r>
      <w:proofErr w:type="spellStart"/>
      <w:r w:rsidRPr="00F737BB">
        <w:rPr>
          <w:rFonts w:ascii="Arial Narrow" w:hAnsi="Arial Narrow"/>
          <w:sz w:val="22"/>
          <w:szCs w:val="22"/>
          <w:u w:val="single"/>
        </w:rPr>
        <w:t>worker</w:t>
      </w:r>
      <w:r w:rsidRPr="00F737BB">
        <w:rPr>
          <w:rFonts w:ascii="Arial Narrow" w:hAnsi="Arial Narrow"/>
          <w:sz w:val="22"/>
          <w:szCs w:val="22"/>
        </w:rPr>
        <w:t>.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sz w:val="22"/>
              <w:szCs w:val="22"/>
            </w:rPr>
            <w:t>Kampala</w:t>
          </w:r>
        </w:smartTag>
        <w:proofErr w:type="spellEnd"/>
        <w:r w:rsidRPr="00F737BB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country-region">
          <w:r w:rsidRPr="00F737BB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F737BB">
        <w:rPr>
          <w:rFonts w:ascii="Arial Narrow" w:hAnsi="Arial Narrow"/>
          <w:sz w:val="22"/>
          <w:szCs w:val="22"/>
        </w:rPr>
        <w:t>: NAADS.</w:t>
      </w:r>
    </w:p>
    <w:p w:rsidR="00451FC8" w:rsidRPr="00F737BB" w:rsidRDefault="00451FC8" w:rsidP="00451FC8">
      <w:pPr>
        <w:rPr>
          <w:rFonts w:ascii="Arial Narrow" w:hAnsi="Arial Narrow"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Wilde, V.L. (1998). </w:t>
      </w:r>
      <w:r w:rsidRPr="00F737BB">
        <w:rPr>
          <w:rFonts w:ascii="Arial Narrow" w:hAnsi="Arial Narrow"/>
          <w:sz w:val="22"/>
          <w:szCs w:val="22"/>
          <w:u w:val="single"/>
        </w:rPr>
        <w:t xml:space="preserve">Socioeconomic and gender analysis </w:t>
      </w:r>
      <w:proofErr w:type="spellStart"/>
      <w:r w:rsidRPr="00F737BB">
        <w:rPr>
          <w:rFonts w:ascii="Arial Narrow" w:hAnsi="Arial Narrow"/>
          <w:sz w:val="22"/>
          <w:szCs w:val="22"/>
          <w:u w:val="single"/>
        </w:rPr>
        <w:t>programme</w:t>
      </w:r>
      <w:proofErr w:type="spellEnd"/>
      <w:r w:rsidRPr="00F737BB">
        <w:rPr>
          <w:rFonts w:ascii="Arial Narrow" w:hAnsi="Arial Narrow"/>
          <w:sz w:val="22"/>
          <w:szCs w:val="22"/>
          <w:u w:val="single"/>
        </w:rPr>
        <w:t xml:space="preserve"> (SEAGA) field </w:t>
      </w:r>
      <w:proofErr w:type="spellStart"/>
      <w:r w:rsidRPr="00F737BB">
        <w:rPr>
          <w:rFonts w:ascii="Arial Narrow" w:hAnsi="Arial Narrow"/>
          <w:sz w:val="22"/>
          <w:szCs w:val="22"/>
          <w:u w:val="single"/>
        </w:rPr>
        <w:t>handbook.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sz w:val="22"/>
              <w:szCs w:val="22"/>
            </w:rPr>
            <w:t>Rome</w:t>
          </w:r>
        </w:smartTag>
      </w:smartTag>
      <w:proofErr w:type="spellEnd"/>
      <w:r w:rsidRPr="00F737BB">
        <w:rPr>
          <w:rFonts w:ascii="Arial Narrow" w:hAnsi="Arial Narrow"/>
          <w:sz w:val="22"/>
          <w:szCs w:val="22"/>
        </w:rPr>
        <w:t>: FAO.</w:t>
      </w:r>
    </w:p>
    <w:p w:rsidR="00451FC8" w:rsidRPr="00F737BB" w:rsidRDefault="00451FC8" w:rsidP="00451FC8">
      <w:pPr>
        <w:rPr>
          <w:rFonts w:ascii="Arial Narrow" w:hAnsi="Arial Narrow"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sz w:val="22"/>
          <w:szCs w:val="22"/>
        </w:rPr>
      </w:pPr>
      <w:proofErr w:type="gramStart"/>
      <w:r w:rsidRPr="00F737BB">
        <w:rPr>
          <w:rFonts w:ascii="Arial Narrow" w:hAnsi="Arial Narrow"/>
          <w:sz w:val="22"/>
          <w:szCs w:val="22"/>
        </w:rPr>
        <w:t xml:space="preserve">Fong, M.S. and </w:t>
      </w:r>
      <w:proofErr w:type="spellStart"/>
      <w:r w:rsidRPr="00F737BB">
        <w:rPr>
          <w:rFonts w:ascii="Arial Narrow" w:hAnsi="Arial Narrow"/>
          <w:sz w:val="22"/>
          <w:szCs w:val="22"/>
        </w:rPr>
        <w:t>Bhushan</w:t>
      </w:r>
      <w:proofErr w:type="spellEnd"/>
      <w:r w:rsidRPr="00F737BB">
        <w:rPr>
          <w:rFonts w:ascii="Arial Narrow" w:hAnsi="Arial Narrow"/>
          <w:sz w:val="22"/>
          <w:szCs w:val="22"/>
        </w:rPr>
        <w:t>, A. (1996).</w:t>
      </w:r>
      <w:proofErr w:type="gramEnd"/>
      <w:r w:rsidRPr="00F737BB">
        <w:rPr>
          <w:rFonts w:ascii="Arial Narrow" w:hAnsi="Arial Narrow"/>
          <w:sz w:val="22"/>
          <w:szCs w:val="22"/>
        </w:rPr>
        <w:t xml:space="preserve"> </w:t>
      </w:r>
      <w:r w:rsidRPr="00F737BB">
        <w:rPr>
          <w:rFonts w:ascii="Arial Narrow" w:hAnsi="Arial Narrow"/>
          <w:sz w:val="22"/>
          <w:szCs w:val="22"/>
          <w:u w:val="single"/>
        </w:rPr>
        <w:t xml:space="preserve">Toolkit on gender in </w:t>
      </w:r>
      <w:proofErr w:type="spellStart"/>
      <w:r w:rsidRPr="00F737BB">
        <w:rPr>
          <w:rFonts w:ascii="Arial Narrow" w:hAnsi="Arial Narrow"/>
          <w:sz w:val="22"/>
          <w:szCs w:val="22"/>
          <w:u w:val="single"/>
        </w:rPr>
        <w:t>agriculture.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sz w:val="22"/>
              <w:szCs w:val="22"/>
            </w:rPr>
            <w:t>Washington</w:t>
          </w:r>
        </w:smartTag>
        <w:smartTag w:uri="urn:schemas-microsoft-com:office:smarttags" w:element="State">
          <w:r w:rsidRPr="00F737BB">
            <w:rPr>
              <w:rFonts w:ascii="Arial Narrow" w:hAnsi="Arial Narrow"/>
              <w:sz w:val="22"/>
              <w:szCs w:val="22"/>
            </w:rPr>
            <w:t>DC</w:t>
          </w:r>
        </w:smartTag>
      </w:smartTag>
      <w:proofErr w:type="spellEnd"/>
      <w:r w:rsidRPr="00F737BB">
        <w:rPr>
          <w:rFonts w:ascii="Arial Narrow" w:hAnsi="Arial Narrow"/>
          <w:sz w:val="22"/>
          <w:szCs w:val="22"/>
        </w:rPr>
        <w:t>: the World Bank.</w:t>
      </w:r>
    </w:p>
    <w:p w:rsidR="00451FC8" w:rsidRPr="00F737BB" w:rsidRDefault="00451FC8" w:rsidP="00451FC8">
      <w:pPr>
        <w:rPr>
          <w:rFonts w:ascii="Arial Narrow" w:hAnsi="Arial Narrow"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4. COURSE CONTENT, METHODS OF INSTRUCTION, TOOLS AND EQUIPMENT REQUIRED</w:t>
      </w:r>
    </w:p>
    <w:p w:rsidR="00451FC8" w:rsidRPr="00F737BB" w:rsidRDefault="00451FC8" w:rsidP="00451FC8">
      <w:pPr>
        <w:rPr>
          <w:rFonts w:ascii="Arial Narrow" w:hAnsi="Arial Narrow"/>
          <w:color w:val="000000"/>
          <w:sz w:val="22"/>
          <w:szCs w:val="22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4680"/>
        <w:gridCol w:w="1800"/>
        <w:gridCol w:w="1620"/>
      </w:tblGrid>
      <w:tr w:rsidR="00451FC8" w:rsidRPr="00F737BB" w:rsidTr="00786378">
        <w:tc>
          <w:tcPr>
            <w:tcW w:w="2160" w:type="dxa"/>
          </w:tcPr>
          <w:p w:rsidR="00451FC8" w:rsidRPr="00F737BB" w:rsidRDefault="00451FC8" w:rsidP="00786378">
            <w:pPr>
              <w:rPr>
                <w:rFonts w:ascii="Arial Narrow" w:hAnsi="Arial Narrow"/>
                <w:b/>
                <w:color w:val="000000"/>
              </w:rPr>
            </w:pPr>
            <w:r w:rsidRPr="00F737BB">
              <w:rPr>
                <w:rFonts w:ascii="Arial Narrow" w:hAnsi="Arial Narrow"/>
                <w:b/>
                <w:color w:val="000000"/>
                <w:sz w:val="22"/>
                <w:szCs w:val="22"/>
              </w:rPr>
              <w:t>WEEK/TOPIC</w:t>
            </w:r>
          </w:p>
        </w:tc>
        <w:tc>
          <w:tcPr>
            <w:tcW w:w="4680" w:type="dxa"/>
          </w:tcPr>
          <w:p w:rsidR="00451FC8" w:rsidRPr="00F737BB" w:rsidRDefault="00451FC8" w:rsidP="00786378">
            <w:pPr>
              <w:rPr>
                <w:rFonts w:ascii="Arial Narrow" w:hAnsi="Arial Narrow"/>
                <w:b/>
                <w:color w:val="000000"/>
              </w:rPr>
            </w:pPr>
            <w:r w:rsidRPr="00F737BB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1800" w:type="dxa"/>
          </w:tcPr>
          <w:p w:rsidR="00451FC8" w:rsidRPr="00F737BB" w:rsidRDefault="00451FC8" w:rsidP="00786378">
            <w:pPr>
              <w:ind w:right="-108"/>
              <w:rPr>
                <w:rFonts w:ascii="Arial Narrow" w:hAnsi="Arial Narrow"/>
                <w:b/>
                <w:color w:val="000000"/>
              </w:rPr>
            </w:pPr>
            <w:r w:rsidRPr="00F737BB">
              <w:rPr>
                <w:rFonts w:ascii="Arial Narrow" w:hAnsi="Arial Narrow"/>
                <w:b/>
                <w:color w:val="000000"/>
                <w:sz w:val="22"/>
                <w:szCs w:val="22"/>
              </w:rPr>
              <w:t>METHOD OF INSTRUCTION / Time allocated</w:t>
            </w:r>
          </w:p>
        </w:tc>
        <w:tc>
          <w:tcPr>
            <w:tcW w:w="1620" w:type="dxa"/>
          </w:tcPr>
          <w:p w:rsidR="00451FC8" w:rsidRPr="00F737BB" w:rsidRDefault="00451FC8" w:rsidP="00786378">
            <w:pPr>
              <w:rPr>
                <w:rFonts w:ascii="Arial Narrow" w:hAnsi="Arial Narrow"/>
                <w:b/>
                <w:color w:val="000000"/>
              </w:rPr>
            </w:pPr>
            <w:r w:rsidRPr="00F737BB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TOOLS / EQUIPMENT NEEDED</w:t>
            </w:r>
          </w:p>
        </w:tc>
      </w:tr>
      <w:tr w:rsidR="00451FC8" w:rsidRPr="00F737BB" w:rsidTr="00786378">
        <w:tc>
          <w:tcPr>
            <w:tcW w:w="2160" w:type="dxa"/>
          </w:tcPr>
          <w:p w:rsidR="00451FC8" w:rsidRPr="00F737BB" w:rsidRDefault="00451FC8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WEEK 1. Definition of  concepts  </w:t>
            </w:r>
          </w:p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680" w:type="dxa"/>
          </w:tcPr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Definition of the concepts sustainable development, gender, environment and HIV/AIDS</w:t>
            </w:r>
          </w:p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The relationship between development and gender, environment and HIV/AIDS</w:t>
            </w:r>
          </w:p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Definition of  gender issues and related concepts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800" w:type="dxa"/>
          </w:tcPr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Interactive lecture (2 LH)</w:t>
            </w:r>
          </w:p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2TH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Markers / LCD projector</w:t>
            </w:r>
          </w:p>
        </w:tc>
      </w:tr>
      <w:tr w:rsidR="00451FC8" w:rsidRPr="00F737BB" w:rsidTr="00786378">
        <w:tc>
          <w:tcPr>
            <w:tcW w:w="2160" w:type="dxa"/>
          </w:tcPr>
          <w:p w:rsidR="00451FC8" w:rsidRPr="00F737BB" w:rsidRDefault="00451FC8" w:rsidP="00786378">
            <w:pPr>
              <w:ind w:left="252" w:hanging="252"/>
              <w:outlineLvl w:val="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WEEK 2. Gender issues in land ownership</w:t>
            </w:r>
          </w:p>
        </w:tc>
        <w:tc>
          <w:tcPr>
            <w:tcW w:w="4680" w:type="dxa"/>
          </w:tcPr>
          <w:p w:rsidR="00451FC8" w:rsidRPr="00F737BB" w:rsidRDefault="00451FC8" w:rsidP="00451FC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Gender issues in land ownership in </w:t>
            </w:r>
            <w:smartTag w:uri="urn:schemas-microsoft-com:office:smarttags" w:element="place">
              <w:smartTag w:uri="urn:schemas-microsoft-com:office:smarttags" w:element="country-region">
                <w:r w:rsidRPr="00F737BB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Uganda</w:t>
                </w:r>
              </w:smartTag>
            </w:smartTag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and other African countries</w:t>
            </w:r>
          </w:p>
          <w:p w:rsidR="00451FC8" w:rsidRPr="00F737BB" w:rsidRDefault="00451FC8" w:rsidP="00451FC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Implications of the gender issues for agricultural development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800" w:type="dxa"/>
          </w:tcPr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Interactive lecture ( 2LH)</w:t>
            </w:r>
          </w:p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Case studies (2TH)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Markers / LCD projector</w:t>
            </w:r>
          </w:p>
        </w:tc>
      </w:tr>
      <w:tr w:rsidR="00451FC8" w:rsidRPr="00F737BB" w:rsidTr="00786378">
        <w:tc>
          <w:tcPr>
            <w:tcW w:w="2160" w:type="dxa"/>
          </w:tcPr>
          <w:p w:rsidR="00451FC8" w:rsidRPr="00F737BB" w:rsidRDefault="00451FC8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WEEK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3. Gender issues in livestock and poultry production</w:t>
            </w:r>
          </w:p>
          <w:p w:rsidR="00451FC8" w:rsidRPr="00F737BB" w:rsidRDefault="00451FC8" w:rsidP="00786378">
            <w:pPr>
              <w:ind w:left="252" w:hanging="252"/>
              <w:rPr>
                <w:rFonts w:ascii="Arial Narrow" w:hAnsi="Arial Narrow"/>
                <w:color w:val="000000"/>
              </w:rPr>
            </w:pPr>
          </w:p>
        </w:tc>
        <w:tc>
          <w:tcPr>
            <w:tcW w:w="468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</w:p>
          <w:p w:rsidR="00451FC8" w:rsidRPr="00F737BB" w:rsidRDefault="00451FC8" w:rsidP="00451FC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Gender issues in livestock and poultry production in </w:t>
            </w:r>
            <w:smartTag w:uri="urn:schemas-microsoft-com:office:smarttags" w:element="place">
              <w:smartTag w:uri="urn:schemas-microsoft-com:office:smarttags" w:element="country-region">
                <w:r w:rsidRPr="00F737BB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Uganda</w:t>
                </w:r>
              </w:smartTag>
            </w:smartTag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and other African countries</w:t>
            </w:r>
          </w:p>
          <w:p w:rsidR="00451FC8" w:rsidRPr="00F737BB" w:rsidRDefault="00451FC8" w:rsidP="00451FC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Implications of the gender issues for agricultural development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800" w:type="dxa"/>
          </w:tcPr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Interactive lecture (2LH)</w:t>
            </w:r>
          </w:p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Case studies (2TH)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Markers / LCD projector</w:t>
            </w:r>
          </w:p>
        </w:tc>
      </w:tr>
      <w:tr w:rsidR="00451FC8" w:rsidRPr="00F737BB" w:rsidTr="00786378">
        <w:tc>
          <w:tcPr>
            <w:tcW w:w="216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WEEK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4. Gender issues in agro-forestry</w:t>
            </w:r>
          </w:p>
        </w:tc>
        <w:tc>
          <w:tcPr>
            <w:tcW w:w="468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</w:p>
          <w:p w:rsidR="00451FC8" w:rsidRPr="00F737BB" w:rsidRDefault="00451FC8" w:rsidP="00451FC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Gender issues in agro-forestry in </w:t>
            </w:r>
            <w:smartTag w:uri="urn:schemas-microsoft-com:office:smarttags" w:element="place">
              <w:smartTag w:uri="urn:schemas-microsoft-com:office:smarttags" w:element="country-region">
                <w:r w:rsidRPr="00F737BB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Uganda</w:t>
                </w:r>
              </w:smartTag>
            </w:smartTag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and other African countries</w:t>
            </w:r>
          </w:p>
          <w:p w:rsidR="00451FC8" w:rsidRPr="00F737BB" w:rsidRDefault="00451FC8" w:rsidP="00451FC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Implications of the gender issues for agricultural development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800" w:type="dxa"/>
          </w:tcPr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Interactive lecture (2LH)</w:t>
            </w:r>
          </w:p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Case studies (2TH)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Markers / LCD projector</w:t>
            </w:r>
          </w:p>
        </w:tc>
      </w:tr>
      <w:tr w:rsidR="00451FC8" w:rsidRPr="00F737BB" w:rsidTr="00786378">
        <w:tc>
          <w:tcPr>
            <w:tcW w:w="216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WEEK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5. Gender issues in agricultural extension and agro-marketing</w:t>
            </w:r>
          </w:p>
        </w:tc>
        <w:tc>
          <w:tcPr>
            <w:tcW w:w="468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</w:p>
          <w:p w:rsidR="00451FC8" w:rsidRPr="00F737BB" w:rsidRDefault="00451FC8" w:rsidP="00451FC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Gender issues in agricultural extension and agro-marketing in </w:t>
            </w:r>
            <w:smartTag w:uri="urn:schemas-microsoft-com:office:smarttags" w:element="place">
              <w:smartTag w:uri="urn:schemas-microsoft-com:office:smarttags" w:element="country-region">
                <w:r w:rsidRPr="00F737BB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Uganda</w:t>
                </w:r>
              </w:smartTag>
            </w:smartTag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and other African countries</w:t>
            </w:r>
          </w:p>
          <w:p w:rsidR="00451FC8" w:rsidRPr="00F737BB" w:rsidRDefault="00451FC8" w:rsidP="00451FC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Implications of the gender issues for agricultural development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800" w:type="dxa"/>
          </w:tcPr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Interactive lecture (2LH)</w:t>
            </w:r>
          </w:p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Case studies (2TH)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Markers / LCD projector</w:t>
            </w:r>
          </w:p>
        </w:tc>
      </w:tr>
      <w:tr w:rsidR="00451FC8" w:rsidRPr="00F737BB" w:rsidTr="00786378">
        <w:tc>
          <w:tcPr>
            <w:tcW w:w="2160" w:type="dxa"/>
          </w:tcPr>
          <w:p w:rsidR="00451FC8" w:rsidRPr="00F737BB" w:rsidRDefault="00451FC8" w:rsidP="00786378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WEEK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6. Gender issues in agricultural input supply and the agricultural profession </w:t>
            </w:r>
          </w:p>
        </w:tc>
        <w:tc>
          <w:tcPr>
            <w:tcW w:w="468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</w:p>
          <w:p w:rsidR="00451FC8" w:rsidRPr="00F737BB" w:rsidRDefault="00451FC8" w:rsidP="00451FC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Gender issues in agro-input supply and the agricultural profession in </w:t>
            </w:r>
            <w:smartTag w:uri="urn:schemas-microsoft-com:office:smarttags" w:element="place">
              <w:smartTag w:uri="urn:schemas-microsoft-com:office:smarttags" w:element="country-region">
                <w:r w:rsidRPr="00F737BB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Uganda</w:t>
                </w:r>
              </w:smartTag>
            </w:smartTag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and other African countries</w:t>
            </w:r>
          </w:p>
          <w:p w:rsidR="00451FC8" w:rsidRPr="00F737BB" w:rsidRDefault="00451FC8" w:rsidP="00451FC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Implications of the gender issues for agricultural development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800" w:type="dxa"/>
          </w:tcPr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Interactive lecture (2LH)</w:t>
            </w:r>
          </w:p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Field trip (2TH)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Markers / LCD projector</w:t>
            </w:r>
          </w:p>
        </w:tc>
      </w:tr>
      <w:tr w:rsidR="00451FC8" w:rsidRPr="00F737BB" w:rsidTr="00786378">
        <w:tc>
          <w:tcPr>
            <w:tcW w:w="216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WEEK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7. Gender issues in agro-credit and financial services</w:t>
            </w:r>
          </w:p>
        </w:tc>
        <w:tc>
          <w:tcPr>
            <w:tcW w:w="468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</w:p>
          <w:p w:rsidR="00451FC8" w:rsidRPr="00F737BB" w:rsidRDefault="00451FC8" w:rsidP="00451FC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Gender issues in agro-credit in </w:t>
            </w:r>
            <w:smartTag w:uri="urn:schemas-microsoft-com:office:smarttags" w:element="place">
              <w:smartTag w:uri="urn:schemas-microsoft-com:office:smarttags" w:element="country-region">
                <w:r w:rsidRPr="00F737BB">
                  <w:rPr>
                    <w:rFonts w:ascii="Arial Narrow" w:hAnsi="Arial Narrow"/>
                    <w:color w:val="000000"/>
                    <w:sz w:val="22"/>
                    <w:szCs w:val="22"/>
                  </w:rPr>
                  <w:t>Uganda</w:t>
                </w:r>
              </w:smartTag>
            </w:smartTag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and other African countries</w:t>
            </w:r>
          </w:p>
          <w:p w:rsidR="00451FC8" w:rsidRPr="00F737BB" w:rsidRDefault="00451FC8" w:rsidP="00451FC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Implications of the gender issues for agricultural development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800" w:type="dxa"/>
          </w:tcPr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Interactive lecture (2LH)</w:t>
            </w:r>
          </w:p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 xml:space="preserve">Field trip to rural communities, agricultural service provider organizations </w:t>
            </w: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lastRenderedPageBreak/>
              <w:t>(2TH)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Chalk / BB or Markers / LCD projector</w:t>
            </w:r>
          </w:p>
        </w:tc>
      </w:tr>
      <w:tr w:rsidR="00451FC8" w:rsidRPr="00F737BB" w:rsidTr="00786378">
        <w:tc>
          <w:tcPr>
            <w:tcW w:w="216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WEEK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8. Gender needs</w:t>
            </w:r>
          </w:p>
        </w:tc>
        <w:tc>
          <w:tcPr>
            <w:tcW w:w="4680" w:type="dxa"/>
          </w:tcPr>
          <w:p w:rsidR="00451FC8" w:rsidRPr="00F737BB" w:rsidRDefault="00451FC8" w:rsidP="00451F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Definition and rationale of a gender perspective in development</w:t>
            </w:r>
          </w:p>
          <w:p w:rsidR="00451FC8" w:rsidRPr="00F737BB" w:rsidRDefault="00451FC8" w:rsidP="00451F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Practical and strategic gender needs</w:t>
            </w:r>
          </w:p>
          <w:p w:rsidR="00451FC8" w:rsidRPr="00F737BB" w:rsidRDefault="00451FC8" w:rsidP="00451F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The triple role of women and men</w:t>
            </w:r>
          </w:p>
        </w:tc>
        <w:tc>
          <w:tcPr>
            <w:tcW w:w="1800" w:type="dxa"/>
          </w:tcPr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Interactive lecture (2LH)</w:t>
            </w:r>
          </w:p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Discussion/revision questions in groups (2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TH)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Markers / LCD projector</w:t>
            </w:r>
          </w:p>
        </w:tc>
      </w:tr>
      <w:tr w:rsidR="00451FC8" w:rsidRPr="00F737BB" w:rsidTr="00786378">
        <w:tc>
          <w:tcPr>
            <w:tcW w:w="216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WEEK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9. Gender approaches to development</w:t>
            </w:r>
          </w:p>
        </w:tc>
        <w:tc>
          <w:tcPr>
            <w:tcW w:w="4680" w:type="dxa"/>
          </w:tcPr>
          <w:p w:rsidR="00451FC8" w:rsidRPr="00F737BB" w:rsidRDefault="00451FC8" w:rsidP="00451F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Women in Development approach</w:t>
            </w:r>
          </w:p>
          <w:p w:rsidR="00451FC8" w:rsidRPr="00F737BB" w:rsidRDefault="00451FC8" w:rsidP="00451F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Gender and Development approach</w:t>
            </w:r>
          </w:p>
        </w:tc>
        <w:tc>
          <w:tcPr>
            <w:tcW w:w="1800" w:type="dxa"/>
          </w:tcPr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Interactive lecture (2LH)</w:t>
            </w:r>
          </w:p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Case studies (2TH)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Markers / LCD projector</w:t>
            </w:r>
          </w:p>
        </w:tc>
      </w:tr>
      <w:tr w:rsidR="00451FC8" w:rsidRPr="00F737BB" w:rsidTr="00786378">
        <w:tc>
          <w:tcPr>
            <w:tcW w:w="216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WEEK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10. Gender analysis</w:t>
            </w:r>
          </w:p>
        </w:tc>
        <w:tc>
          <w:tcPr>
            <w:tcW w:w="4680" w:type="dxa"/>
          </w:tcPr>
          <w:p w:rsidR="00451FC8" w:rsidRPr="00F737BB" w:rsidRDefault="00451FC8" w:rsidP="00451F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Definition of gender analysis, gender disaggregated data</w:t>
            </w:r>
          </w:p>
          <w:p w:rsidR="00451FC8" w:rsidRPr="00F737BB" w:rsidRDefault="00451FC8" w:rsidP="00451F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How gender analysis is done</w:t>
            </w:r>
          </w:p>
          <w:p w:rsidR="00451FC8" w:rsidRPr="00F737BB" w:rsidRDefault="00451FC8" w:rsidP="00451F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Gender Analysis Frameworks</w:t>
            </w:r>
          </w:p>
        </w:tc>
        <w:tc>
          <w:tcPr>
            <w:tcW w:w="1800" w:type="dxa"/>
          </w:tcPr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Interactive lecture (2LH)</w:t>
            </w:r>
          </w:p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 xml:space="preserve">Case studies 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(2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TH)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Markers / LCD projector</w:t>
            </w:r>
          </w:p>
        </w:tc>
      </w:tr>
      <w:tr w:rsidR="00451FC8" w:rsidRPr="00F737BB" w:rsidTr="00786378">
        <w:tc>
          <w:tcPr>
            <w:tcW w:w="216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WEEK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11. Gender analysis (</w:t>
            </w:r>
            <w:proofErr w:type="spellStart"/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contd</w:t>
            </w:r>
            <w:proofErr w:type="spellEnd"/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80" w:type="dxa"/>
          </w:tcPr>
          <w:p w:rsidR="00451FC8" w:rsidRPr="00F737BB" w:rsidRDefault="00451FC8" w:rsidP="00451F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Gender Analysis Frameworks</w:t>
            </w:r>
          </w:p>
        </w:tc>
        <w:tc>
          <w:tcPr>
            <w:tcW w:w="1800" w:type="dxa"/>
          </w:tcPr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Interactive lecture (2LH)</w:t>
            </w:r>
          </w:p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Case studies (2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TH)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spacing w:val="-3"/>
              </w:rPr>
            </w:pPr>
          </w:p>
        </w:tc>
        <w:tc>
          <w:tcPr>
            <w:tcW w:w="162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Markers / LCD projector</w:t>
            </w:r>
          </w:p>
        </w:tc>
      </w:tr>
      <w:tr w:rsidR="00451FC8" w:rsidRPr="00F737BB" w:rsidTr="00786378">
        <w:tc>
          <w:tcPr>
            <w:tcW w:w="216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WEEK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12. The relationship between environment and agriculture</w:t>
            </w:r>
          </w:p>
        </w:tc>
        <w:tc>
          <w:tcPr>
            <w:tcW w:w="4680" w:type="dxa"/>
          </w:tcPr>
          <w:p w:rsidR="00451FC8" w:rsidRPr="00F737BB" w:rsidRDefault="00451FC8" w:rsidP="00451F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The rationale for integrating environment sustainability issues into agriculture</w:t>
            </w:r>
          </w:p>
          <w:p w:rsidR="00451FC8" w:rsidRPr="00F737BB" w:rsidRDefault="00451FC8" w:rsidP="00451F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The effects of unsustainable agric practices on various elements of the environment</w:t>
            </w:r>
          </w:p>
          <w:p w:rsidR="00451FC8" w:rsidRPr="00F737BB" w:rsidRDefault="00451FC8" w:rsidP="00451F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Strategies and challenges of integrating environment into agriculture</w:t>
            </w:r>
          </w:p>
        </w:tc>
        <w:tc>
          <w:tcPr>
            <w:tcW w:w="1800" w:type="dxa"/>
          </w:tcPr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Interactive lecture (2LH)</w:t>
            </w:r>
          </w:p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2TH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Markers / LCD projector</w:t>
            </w:r>
          </w:p>
        </w:tc>
      </w:tr>
      <w:tr w:rsidR="00451FC8" w:rsidRPr="00F737BB" w:rsidTr="00786378">
        <w:tc>
          <w:tcPr>
            <w:tcW w:w="216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13. The relationship between environment and agriculture (</w:t>
            </w:r>
            <w:proofErr w:type="spellStart"/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contd</w:t>
            </w:r>
            <w:proofErr w:type="spellEnd"/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80" w:type="dxa"/>
          </w:tcPr>
          <w:p w:rsidR="00451FC8" w:rsidRPr="00F737BB" w:rsidRDefault="00451FC8" w:rsidP="00451F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Strategies and challenges of integrating environment into agriculture</w:t>
            </w:r>
          </w:p>
        </w:tc>
        <w:tc>
          <w:tcPr>
            <w:tcW w:w="1800" w:type="dxa"/>
          </w:tcPr>
          <w:p w:rsidR="00451FC8" w:rsidRPr="00F737BB" w:rsidRDefault="00451FC8" w:rsidP="00786378">
            <w:pPr>
              <w:ind w:left="72"/>
              <w:rPr>
                <w:rFonts w:ascii="Arial Narrow" w:hAnsi="Arial Narrow"/>
                <w:spacing w:val="-3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Interactive lecture (2LH)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2TH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spacing w:val="-3"/>
              </w:rPr>
            </w:pPr>
          </w:p>
        </w:tc>
        <w:tc>
          <w:tcPr>
            <w:tcW w:w="162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Markers / LCD projector</w:t>
            </w:r>
          </w:p>
        </w:tc>
      </w:tr>
      <w:tr w:rsidR="00451FC8" w:rsidRPr="00F737BB" w:rsidTr="00786378">
        <w:tc>
          <w:tcPr>
            <w:tcW w:w="216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14. The impact of HIV/AIDS on agriculture</w:t>
            </w:r>
          </w:p>
        </w:tc>
        <w:tc>
          <w:tcPr>
            <w:tcW w:w="4680" w:type="dxa"/>
          </w:tcPr>
          <w:p w:rsidR="00451FC8" w:rsidRPr="00F737BB" w:rsidRDefault="00451FC8" w:rsidP="00451F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Impact of HIV/AIDS on agricultural labor</w:t>
            </w:r>
          </w:p>
          <w:p w:rsidR="00451FC8" w:rsidRPr="00F737BB" w:rsidRDefault="00451FC8" w:rsidP="00451F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Impact on food security</w:t>
            </w:r>
          </w:p>
          <w:p w:rsidR="00451FC8" w:rsidRPr="00F737BB" w:rsidRDefault="00451FC8" w:rsidP="00451F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Impact on gender roles and skills</w:t>
            </w:r>
          </w:p>
          <w:p w:rsidR="00451FC8" w:rsidRPr="00F737BB" w:rsidRDefault="00451FC8" w:rsidP="00451F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Impact on community social organizations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800" w:type="dxa"/>
          </w:tcPr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Interactive lecture (2LH)</w:t>
            </w:r>
          </w:p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Case studies (2 TH)</w:t>
            </w:r>
          </w:p>
          <w:p w:rsidR="00451FC8" w:rsidRPr="00F737BB" w:rsidRDefault="00451FC8" w:rsidP="00786378">
            <w:pPr>
              <w:ind w:left="72"/>
              <w:rPr>
                <w:rFonts w:ascii="Arial Narrow" w:hAnsi="Arial Narrow"/>
                <w:color w:val="000000"/>
              </w:rPr>
            </w:pPr>
          </w:p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Markers / LCD projector</w:t>
            </w:r>
          </w:p>
        </w:tc>
      </w:tr>
      <w:tr w:rsidR="00451FC8" w:rsidRPr="00F737BB" w:rsidTr="00786378">
        <w:tc>
          <w:tcPr>
            <w:tcW w:w="216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15. The impact of HIV/AIDS on agriculture (</w:t>
            </w:r>
            <w:proofErr w:type="spellStart"/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contd</w:t>
            </w:r>
            <w:proofErr w:type="spellEnd"/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80" w:type="dxa"/>
          </w:tcPr>
          <w:p w:rsidR="00451FC8" w:rsidRPr="00F737BB" w:rsidRDefault="00451FC8" w:rsidP="00451F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Integrating HIV/AIDS into agricultural development interventions</w:t>
            </w:r>
          </w:p>
          <w:p w:rsidR="00451FC8" w:rsidRPr="00F737BB" w:rsidRDefault="00451FC8" w:rsidP="00451F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The relationship between gender, HIV/AIDS, and agriculture</w:t>
            </w:r>
          </w:p>
        </w:tc>
        <w:tc>
          <w:tcPr>
            <w:tcW w:w="1800" w:type="dxa"/>
          </w:tcPr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pacing w:val="-3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2LH</w:t>
            </w:r>
          </w:p>
          <w:p w:rsidR="00451FC8" w:rsidRPr="00F737BB" w:rsidRDefault="00451FC8" w:rsidP="00451FC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spacing w:val="-3"/>
              </w:rPr>
            </w:pPr>
            <w:r w:rsidRPr="00F737BB">
              <w:rPr>
                <w:rFonts w:ascii="Arial Narrow" w:hAnsi="Arial Narrow"/>
                <w:spacing w:val="-3"/>
                <w:sz w:val="22"/>
                <w:szCs w:val="22"/>
              </w:rPr>
              <w:t>2TH</w:t>
            </w:r>
          </w:p>
        </w:tc>
        <w:tc>
          <w:tcPr>
            <w:tcW w:w="1620" w:type="dxa"/>
          </w:tcPr>
          <w:p w:rsidR="00451FC8" w:rsidRPr="00F737BB" w:rsidRDefault="00451FC8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Chalk / BB or Markers / LCD projector</w:t>
            </w:r>
          </w:p>
        </w:tc>
      </w:tr>
    </w:tbl>
    <w:p w:rsidR="00451FC8" w:rsidRPr="00F737BB" w:rsidRDefault="00451FC8" w:rsidP="00451FC8">
      <w:pPr>
        <w:rPr>
          <w:rFonts w:ascii="Arial Narrow" w:hAnsi="Arial Narrow"/>
          <w:color w:val="000000"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5. SUMMARY OF TIME NEEDED</w:t>
      </w:r>
    </w:p>
    <w:p w:rsidR="00451FC8" w:rsidRPr="00F737BB" w:rsidRDefault="00451FC8" w:rsidP="00451FC8">
      <w:pPr>
        <w:rPr>
          <w:rFonts w:ascii="Arial Narrow" w:hAnsi="Arial Narrow"/>
          <w:color w:val="000000"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>Interactive lectures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  <w:t>30 hrs</w:t>
      </w:r>
    </w:p>
    <w:p w:rsidR="00451FC8" w:rsidRPr="00F737BB" w:rsidRDefault="00451FC8" w:rsidP="00451FC8">
      <w:pPr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 xml:space="preserve">Tutorials (case studies, field visit, group discussion questions) 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  <w:t>30 hrs</w:t>
      </w:r>
    </w:p>
    <w:p w:rsidR="00451FC8" w:rsidRPr="00F737BB" w:rsidRDefault="00451FC8" w:rsidP="00451FC8">
      <w:pPr>
        <w:rPr>
          <w:rFonts w:ascii="Arial Narrow" w:hAnsi="Arial Narrow"/>
          <w:color w:val="000000"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color w:val="000000"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color w:val="000000"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6. OVERALL COURSE EVALUATION</w:t>
      </w:r>
    </w:p>
    <w:p w:rsidR="00451FC8" w:rsidRPr="00F737BB" w:rsidRDefault="00451FC8" w:rsidP="00451FC8">
      <w:pPr>
        <w:rPr>
          <w:rFonts w:ascii="Arial Narrow" w:hAnsi="Arial Narrow"/>
          <w:color w:val="000000"/>
          <w:sz w:val="22"/>
          <w:szCs w:val="22"/>
        </w:rPr>
      </w:pPr>
    </w:p>
    <w:p w:rsidR="00451FC8" w:rsidRPr="00F737BB" w:rsidRDefault="00451FC8" w:rsidP="00451FC8">
      <w:pPr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Field visit report</w:t>
      </w:r>
      <w:r w:rsidRPr="00F737BB">
        <w:rPr>
          <w:rFonts w:ascii="Arial Narrow" w:hAnsi="Arial Narrow"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ab/>
        <w:t xml:space="preserve">20% </w:t>
      </w:r>
    </w:p>
    <w:p w:rsidR="00451FC8" w:rsidRPr="00F737BB" w:rsidRDefault="00451FC8" w:rsidP="00451FC8">
      <w:pPr>
        <w:rPr>
          <w:rFonts w:ascii="Arial Narrow" w:hAnsi="Arial Narrow"/>
          <w:sz w:val="22"/>
          <w:szCs w:val="22"/>
        </w:rPr>
      </w:pPr>
      <w:proofErr w:type="spellStart"/>
      <w:r w:rsidRPr="00F737BB">
        <w:rPr>
          <w:rFonts w:ascii="Arial Narrow" w:hAnsi="Arial Narrow"/>
          <w:sz w:val="22"/>
          <w:szCs w:val="22"/>
        </w:rPr>
        <w:t>Mid term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 quiz </w:t>
      </w:r>
      <w:r w:rsidRPr="00F737BB">
        <w:rPr>
          <w:rFonts w:ascii="Arial Narrow" w:hAnsi="Arial Narrow"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ab/>
        <w:t>20%</w:t>
      </w:r>
    </w:p>
    <w:p w:rsidR="00451FC8" w:rsidRPr="00F737BB" w:rsidRDefault="00451FC8" w:rsidP="00451FC8">
      <w:pPr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Final written exam </w:t>
      </w:r>
      <w:r w:rsidRPr="00F737BB">
        <w:rPr>
          <w:rFonts w:ascii="Arial Narrow" w:hAnsi="Arial Narrow"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ab/>
        <w:t>60%</w:t>
      </w:r>
    </w:p>
    <w:p w:rsidR="001C3396" w:rsidRDefault="001C3396">
      <w:bookmarkStart w:id="0" w:name="_GoBack"/>
      <w:bookmarkEnd w:id="0"/>
    </w:p>
    <w:sectPr w:rsidR="001C3396" w:rsidSect="005D3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7D96"/>
    <w:multiLevelType w:val="hybridMultilevel"/>
    <w:tmpl w:val="FC8E6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B5541"/>
    <w:multiLevelType w:val="hybridMultilevel"/>
    <w:tmpl w:val="48985EB0"/>
    <w:lvl w:ilvl="0" w:tplc="FFE6C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C902D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B0908"/>
    <w:multiLevelType w:val="hybridMultilevel"/>
    <w:tmpl w:val="3F144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1FC8"/>
    <w:rsid w:val="00050608"/>
    <w:rsid w:val="001668D8"/>
    <w:rsid w:val="001C3396"/>
    <w:rsid w:val="001F160E"/>
    <w:rsid w:val="001F2F3E"/>
    <w:rsid w:val="00275EBF"/>
    <w:rsid w:val="00451FC8"/>
    <w:rsid w:val="00563212"/>
    <w:rsid w:val="005D3483"/>
    <w:rsid w:val="00613CA4"/>
    <w:rsid w:val="00745640"/>
    <w:rsid w:val="00822069"/>
    <w:rsid w:val="00867664"/>
    <w:rsid w:val="008F7FC7"/>
    <w:rsid w:val="00970755"/>
    <w:rsid w:val="00A32CE0"/>
    <w:rsid w:val="00BB434B"/>
    <w:rsid w:val="00BD383E"/>
    <w:rsid w:val="00BF0D71"/>
    <w:rsid w:val="00C8049C"/>
    <w:rsid w:val="00C97EFF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1037</Words>
  <Characters>5917</Characters>
  <Application>Microsoft Office Word</Application>
  <DocSecurity>0</DocSecurity>
  <Lines>49</Lines>
  <Paragraphs>13</Paragraphs>
  <ScaleCrop>false</ScaleCrop>
  <Company>Microsoft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2014-06-26T09:50:00Z</dcterms:created>
  <dcterms:modified xsi:type="dcterms:W3CDTF">2014-06-26T09:50:00Z</dcterms:modified>
</cp:coreProperties>
</file>