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E4" w:rsidRPr="009579A7" w:rsidRDefault="004E05E4" w:rsidP="004E05E4">
      <w:pPr>
        <w:jc w:val="both"/>
        <w:rPr>
          <w:rFonts w:ascii="Arial Narrow" w:hAnsi="Arial Narrow"/>
          <w:b/>
          <w:sz w:val="22"/>
          <w:szCs w:val="22"/>
        </w:rPr>
      </w:pPr>
      <w:r w:rsidRPr="009579A7">
        <w:rPr>
          <w:rFonts w:ascii="Arial Narrow" w:hAnsi="Arial Narrow"/>
          <w:b/>
          <w:sz w:val="22"/>
          <w:szCs w:val="22"/>
        </w:rPr>
        <w:t xml:space="preserve">ORGANIZATIONAL MANAGEMENT &amp; LEADERSHIP </w:t>
      </w:r>
    </w:p>
    <w:p w:rsidR="004E05E4" w:rsidRPr="00F737BB" w:rsidRDefault="004E05E4" w:rsidP="004E05E4">
      <w:pPr>
        <w:jc w:val="both"/>
        <w:rPr>
          <w:rFonts w:ascii="Arial Narrow" w:hAnsi="Arial Narrow"/>
          <w:sz w:val="22"/>
          <w:szCs w:val="22"/>
        </w:rPr>
      </w:pPr>
    </w:p>
    <w:p w:rsidR="004E05E4" w:rsidRPr="00F737BB" w:rsidRDefault="004E05E4" w:rsidP="004E05E4">
      <w:pPr>
        <w:jc w:val="both"/>
        <w:rPr>
          <w:rFonts w:ascii="Arial Narrow" w:hAnsi="Arial Narrow"/>
          <w:sz w:val="22"/>
          <w:szCs w:val="22"/>
        </w:rPr>
      </w:pPr>
      <w:r w:rsidRPr="00F737BB">
        <w:rPr>
          <w:rFonts w:ascii="Arial Narrow" w:hAnsi="Arial Narrow"/>
          <w:sz w:val="22"/>
          <w:szCs w:val="22"/>
        </w:rPr>
        <w:t>COUSE CODE:</w:t>
      </w:r>
      <w:r w:rsidR="006E059C" w:rsidRPr="006E059C">
        <w:rPr>
          <w:rFonts w:ascii="Arial Narrow" w:hAnsi="Arial Narrow"/>
          <w:sz w:val="22"/>
          <w:szCs w:val="22"/>
        </w:rPr>
        <w:t xml:space="preserve"> </w:t>
      </w:r>
      <w:r w:rsidR="006E059C" w:rsidRPr="00F737BB">
        <w:rPr>
          <w:rFonts w:ascii="Arial Narrow" w:hAnsi="Arial Narrow"/>
          <w:sz w:val="22"/>
          <w:szCs w:val="22"/>
        </w:rPr>
        <w:t>ARI 3103</w:t>
      </w:r>
      <w:r w:rsidR="006E059C">
        <w:rPr>
          <w:rFonts w:ascii="Arial Narrow" w:hAnsi="Arial Narrow"/>
          <w:sz w:val="22"/>
          <w:szCs w:val="22"/>
        </w:rPr>
        <w:t xml:space="preserve">     </w:t>
      </w:r>
      <w:r w:rsidRPr="00F737BB">
        <w:rPr>
          <w:rFonts w:ascii="Arial Narrow" w:hAnsi="Arial Narrow"/>
          <w:sz w:val="22"/>
          <w:szCs w:val="22"/>
        </w:rPr>
        <w:tab/>
      </w:r>
    </w:p>
    <w:p w:rsidR="004E05E4" w:rsidRPr="00F737BB" w:rsidRDefault="004E05E4" w:rsidP="004E05E4">
      <w:pPr>
        <w:jc w:val="both"/>
        <w:rPr>
          <w:rFonts w:ascii="Arial Narrow" w:hAnsi="Arial Narrow"/>
          <w:sz w:val="22"/>
          <w:szCs w:val="22"/>
        </w:rPr>
      </w:pPr>
    </w:p>
    <w:p w:rsidR="004E05E4" w:rsidRPr="00F737BB" w:rsidRDefault="004E05E4" w:rsidP="004E05E4">
      <w:pPr>
        <w:ind w:left="2160" w:hanging="2160"/>
        <w:jc w:val="both"/>
        <w:rPr>
          <w:rFonts w:ascii="Arial Narrow" w:hAnsi="Arial Narrow"/>
          <w:bCs/>
          <w:sz w:val="22"/>
          <w:szCs w:val="22"/>
        </w:rPr>
      </w:pPr>
      <w:r w:rsidRPr="00F737BB">
        <w:rPr>
          <w:rFonts w:ascii="Arial Narrow" w:hAnsi="Arial Narrow"/>
          <w:bCs/>
          <w:sz w:val="22"/>
          <w:szCs w:val="22"/>
        </w:rPr>
        <w:t>INSTRUCTOR:</w:t>
      </w:r>
      <w:r w:rsidRPr="00F737BB">
        <w:rPr>
          <w:rFonts w:ascii="Arial Narrow" w:hAnsi="Arial Narrow"/>
          <w:bCs/>
          <w:sz w:val="22"/>
          <w:szCs w:val="22"/>
        </w:rPr>
        <w:tab/>
        <w:t xml:space="preserve">Mr. John James </w:t>
      </w:r>
      <w:proofErr w:type="spellStart"/>
      <w:r w:rsidRPr="00F737BB">
        <w:rPr>
          <w:rFonts w:ascii="Arial Narrow" w:hAnsi="Arial Narrow"/>
          <w:bCs/>
          <w:sz w:val="22"/>
          <w:szCs w:val="22"/>
        </w:rPr>
        <w:t>Okiror</w:t>
      </w:r>
      <w:proofErr w:type="spellEnd"/>
      <w:r w:rsidRPr="00F737BB">
        <w:rPr>
          <w:rFonts w:ascii="Arial Narrow" w:hAnsi="Arial Narrow"/>
          <w:bCs/>
          <w:sz w:val="22"/>
          <w:szCs w:val="22"/>
        </w:rPr>
        <w:t xml:space="preserve"> - Dip Ed. Agric DM, B.ED Voc Agric, (ITEK/MUK) MSC. Agric. Ed., (OSU), PhD Candidate, (MUK) </w:t>
      </w:r>
    </w:p>
    <w:p w:rsidR="004E05E4" w:rsidRPr="00F737BB" w:rsidRDefault="004E05E4" w:rsidP="004E05E4">
      <w:pPr>
        <w:jc w:val="both"/>
        <w:rPr>
          <w:rFonts w:ascii="Arial Narrow" w:hAnsi="Arial Narrow"/>
          <w:bCs/>
          <w:sz w:val="22"/>
          <w:szCs w:val="22"/>
        </w:rPr>
      </w:pPr>
    </w:p>
    <w:p w:rsidR="004E05E4" w:rsidRPr="00F737BB" w:rsidRDefault="004E05E4" w:rsidP="004E05E4">
      <w:pPr>
        <w:spacing w:before="240"/>
        <w:jc w:val="both"/>
        <w:rPr>
          <w:rFonts w:ascii="Arial Narrow" w:hAnsi="Arial Narrow"/>
          <w:bCs/>
          <w:sz w:val="22"/>
          <w:szCs w:val="22"/>
        </w:rPr>
      </w:pPr>
      <w:r w:rsidRPr="00F737BB">
        <w:rPr>
          <w:rFonts w:ascii="Arial Narrow" w:hAnsi="Arial Narrow"/>
          <w:bCs/>
          <w:sz w:val="22"/>
          <w:szCs w:val="22"/>
        </w:rPr>
        <w:t>COURSE TYPE: Core (Bachelor of Agriculture and rural innovation)</w:t>
      </w:r>
    </w:p>
    <w:p w:rsidR="004E05E4" w:rsidRPr="00F737BB" w:rsidRDefault="004E05E4" w:rsidP="004E05E4">
      <w:pPr>
        <w:jc w:val="both"/>
        <w:rPr>
          <w:rFonts w:ascii="Arial Narrow" w:hAnsi="Arial Narrow"/>
          <w:bCs/>
          <w:sz w:val="22"/>
          <w:szCs w:val="22"/>
        </w:rPr>
      </w:pPr>
    </w:p>
    <w:p w:rsidR="004E05E4" w:rsidRPr="00F737BB" w:rsidRDefault="004E05E4" w:rsidP="004E05E4">
      <w:pPr>
        <w:jc w:val="both"/>
        <w:rPr>
          <w:rFonts w:ascii="Arial Narrow" w:hAnsi="Arial Narrow"/>
          <w:bCs/>
          <w:sz w:val="22"/>
          <w:szCs w:val="22"/>
        </w:rPr>
      </w:pPr>
      <w:r w:rsidRPr="00F737BB">
        <w:rPr>
          <w:rFonts w:ascii="Arial Narrow" w:hAnsi="Arial Narrow"/>
          <w:bCs/>
          <w:sz w:val="22"/>
          <w:szCs w:val="22"/>
        </w:rPr>
        <w:t>COURSE STRUCTURE AND LOCATION</w:t>
      </w:r>
    </w:p>
    <w:p w:rsidR="004E05E4" w:rsidRPr="00F737BB" w:rsidRDefault="004E05E4" w:rsidP="004E05E4">
      <w:pPr>
        <w:jc w:val="both"/>
        <w:rPr>
          <w:rFonts w:ascii="Arial Narrow" w:hAnsi="Arial Narrow"/>
          <w:bCs/>
          <w:sz w:val="22"/>
          <w:szCs w:val="22"/>
        </w:rPr>
      </w:pPr>
    </w:p>
    <w:p w:rsidR="004E05E4" w:rsidRPr="00F737BB" w:rsidRDefault="004E05E4" w:rsidP="004E05E4">
      <w:pPr>
        <w:jc w:val="both"/>
        <w:rPr>
          <w:rFonts w:ascii="Arial Narrow" w:hAnsi="Arial Narrow"/>
          <w:bCs/>
          <w:sz w:val="22"/>
          <w:szCs w:val="22"/>
        </w:rPr>
      </w:pPr>
      <w:r w:rsidRPr="00F737BB">
        <w:rPr>
          <w:rFonts w:ascii="Arial Narrow" w:hAnsi="Arial Narrow"/>
          <w:bCs/>
          <w:sz w:val="22"/>
          <w:szCs w:val="22"/>
        </w:rPr>
        <w:t>3 Course Units i.e. 45 contact hours per semester: 30 Lecture Hours; and 30 Tutorial Hours/ Independent Study Hours = 45 Total Contact Hours. The course will be offered in the Faculty of Agriculture, Department of Agricultural Extension/ Education</w:t>
      </w:r>
    </w:p>
    <w:p w:rsidR="004E05E4" w:rsidRPr="00F737BB" w:rsidRDefault="004E05E4" w:rsidP="004E05E4">
      <w:pPr>
        <w:jc w:val="both"/>
        <w:rPr>
          <w:rFonts w:ascii="Arial Narrow" w:hAnsi="Arial Narrow"/>
          <w:bCs/>
          <w:sz w:val="22"/>
          <w:szCs w:val="22"/>
        </w:rPr>
      </w:pPr>
    </w:p>
    <w:p w:rsidR="004E05E4" w:rsidRPr="00F737BB" w:rsidRDefault="004E05E4" w:rsidP="004E05E4">
      <w:pPr>
        <w:numPr>
          <w:ilvl w:val="0"/>
          <w:numId w:val="2"/>
        </w:numPr>
        <w:jc w:val="both"/>
        <w:rPr>
          <w:rFonts w:ascii="Arial Narrow" w:hAnsi="Arial Narrow"/>
          <w:bCs/>
          <w:sz w:val="22"/>
          <w:szCs w:val="22"/>
        </w:rPr>
      </w:pPr>
      <w:r w:rsidRPr="00F737BB">
        <w:rPr>
          <w:rFonts w:ascii="Arial Narrow" w:hAnsi="Arial Narrow"/>
          <w:bCs/>
          <w:sz w:val="22"/>
          <w:szCs w:val="22"/>
        </w:rPr>
        <w:t>COURSE DESCRIPTION</w:t>
      </w:r>
      <w:r w:rsidR="006E059C">
        <w:rPr>
          <w:rFonts w:ascii="Arial Narrow" w:hAnsi="Arial Narrow"/>
          <w:bCs/>
          <w:sz w:val="22"/>
          <w:szCs w:val="22"/>
        </w:rPr>
        <w:t>:</w:t>
      </w:r>
    </w:p>
    <w:p w:rsidR="004E05E4" w:rsidRPr="00F737BB" w:rsidRDefault="004E05E4" w:rsidP="004E05E4">
      <w:pPr>
        <w:jc w:val="both"/>
        <w:rPr>
          <w:rFonts w:ascii="Arial Narrow" w:hAnsi="Arial Narrow"/>
          <w:sz w:val="22"/>
          <w:szCs w:val="22"/>
        </w:rPr>
      </w:pPr>
    </w:p>
    <w:p w:rsidR="004E05E4" w:rsidRPr="00F737BB" w:rsidRDefault="004E05E4" w:rsidP="004E05E4">
      <w:pPr>
        <w:jc w:val="both"/>
        <w:rPr>
          <w:rFonts w:ascii="Arial Narrow" w:hAnsi="Arial Narrow"/>
          <w:sz w:val="22"/>
          <w:szCs w:val="22"/>
        </w:rPr>
      </w:pPr>
      <w:r w:rsidRPr="00F737BB">
        <w:rPr>
          <w:rFonts w:ascii="Arial Narrow" w:hAnsi="Arial Narrow"/>
          <w:sz w:val="22"/>
          <w:szCs w:val="22"/>
        </w:rPr>
        <w:t>Overview of general management concepts and applications including the evolution and the development of management thought (classical management theories and principles); understanding (formal) organizations with reference to public and private farmer-led organizations. Analysis of the management process including key management concepts: (power, authority, responsibility and accountability, delegation and discipline); management functions (planning, organizing, supervising, controlling); and staffing and human resource development with a gender perspective (in staff recruitment, selection, placement and supervision), especially in agricultural service organizations of the public and private nature.</w:t>
      </w:r>
    </w:p>
    <w:p w:rsidR="004E05E4" w:rsidRPr="00F737BB" w:rsidRDefault="004E05E4" w:rsidP="004E05E4">
      <w:pPr>
        <w:rPr>
          <w:rFonts w:ascii="Arial Narrow" w:hAnsi="Arial Narrow"/>
          <w:sz w:val="22"/>
          <w:szCs w:val="22"/>
        </w:rPr>
      </w:pPr>
    </w:p>
    <w:p w:rsidR="004E05E4" w:rsidRPr="00F737BB" w:rsidRDefault="004E05E4" w:rsidP="004E05E4">
      <w:pPr>
        <w:numPr>
          <w:ilvl w:val="0"/>
          <w:numId w:val="2"/>
        </w:numPr>
        <w:rPr>
          <w:rFonts w:ascii="Arial Narrow" w:hAnsi="Arial Narrow"/>
          <w:sz w:val="22"/>
          <w:szCs w:val="22"/>
        </w:rPr>
      </w:pPr>
      <w:r w:rsidRPr="00F737BB">
        <w:rPr>
          <w:rFonts w:ascii="Arial Narrow" w:hAnsi="Arial Narrow"/>
          <w:sz w:val="22"/>
          <w:szCs w:val="22"/>
        </w:rPr>
        <w:t>PURPOSE OF THE COURSE</w:t>
      </w:r>
    </w:p>
    <w:p w:rsidR="004E05E4" w:rsidRPr="00F737BB" w:rsidRDefault="004E05E4" w:rsidP="004E05E4">
      <w:pPr>
        <w:jc w:val="both"/>
        <w:rPr>
          <w:rFonts w:ascii="Arial Narrow" w:hAnsi="Arial Narrow"/>
          <w:sz w:val="22"/>
          <w:szCs w:val="22"/>
        </w:rPr>
      </w:pPr>
      <w:r w:rsidRPr="00F737BB">
        <w:rPr>
          <w:rFonts w:ascii="Arial Narrow" w:hAnsi="Arial Narrow"/>
          <w:sz w:val="22"/>
          <w:szCs w:val="22"/>
        </w:rPr>
        <w:t>The aim of this course is to enable students to become better facilitators of farmer institutional development by equipping them with the basic knowledge of concepts and skills in the science and art of management and leadership</w:t>
      </w:r>
    </w:p>
    <w:p w:rsidR="004E05E4" w:rsidRPr="00F737BB" w:rsidRDefault="004E05E4" w:rsidP="004E05E4">
      <w:pPr>
        <w:rPr>
          <w:rFonts w:ascii="Arial Narrow" w:hAnsi="Arial Narrow"/>
          <w:sz w:val="22"/>
          <w:szCs w:val="22"/>
        </w:rPr>
      </w:pPr>
    </w:p>
    <w:p w:rsidR="004E05E4" w:rsidRPr="00F737BB" w:rsidRDefault="004E05E4" w:rsidP="004E05E4">
      <w:pPr>
        <w:numPr>
          <w:ilvl w:val="0"/>
          <w:numId w:val="2"/>
        </w:numPr>
        <w:jc w:val="both"/>
        <w:rPr>
          <w:rFonts w:ascii="Arial Narrow" w:hAnsi="Arial Narrow"/>
          <w:sz w:val="22"/>
          <w:szCs w:val="22"/>
        </w:rPr>
      </w:pPr>
      <w:r w:rsidRPr="00F737BB">
        <w:rPr>
          <w:rFonts w:ascii="Arial Narrow" w:hAnsi="Arial Narrow"/>
          <w:sz w:val="22"/>
          <w:szCs w:val="22"/>
        </w:rPr>
        <w:t>SPECIFIC OBJECTIVES</w:t>
      </w:r>
    </w:p>
    <w:p w:rsidR="004E05E4" w:rsidRPr="00F737BB" w:rsidRDefault="004E05E4" w:rsidP="004E05E4">
      <w:pPr>
        <w:numPr>
          <w:ilvl w:val="0"/>
          <w:numId w:val="1"/>
        </w:numPr>
        <w:jc w:val="both"/>
        <w:rPr>
          <w:rFonts w:ascii="Arial Narrow" w:hAnsi="Arial Narrow"/>
          <w:sz w:val="22"/>
          <w:szCs w:val="22"/>
        </w:rPr>
      </w:pPr>
      <w:r w:rsidRPr="00F737BB">
        <w:rPr>
          <w:rFonts w:ascii="Arial Narrow" w:hAnsi="Arial Narrow"/>
          <w:sz w:val="22"/>
          <w:szCs w:val="22"/>
        </w:rPr>
        <w:t>To define the concept of management, its classical theories and principles</w:t>
      </w:r>
    </w:p>
    <w:p w:rsidR="004E05E4" w:rsidRPr="00F737BB" w:rsidRDefault="004E05E4" w:rsidP="004E05E4">
      <w:pPr>
        <w:numPr>
          <w:ilvl w:val="0"/>
          <w:numId w:val="1"/>
        </w:numPr>
        <w:jc w:val="both"/>
        <w:rPr>
          <w:rFonts w:ascii="Arial Narrow" w:hAnsi="Arial Narrow"/>
          <w:sz w:val="22"/>
          <w:szCs w:val="22"/>
        </w:rPr>
      </w:pPr>
      <w:r w:rsidRPr="00F737BB">
        <w:rPr>
          <w:rFonts w:ascii="Arial Narrow" w:hAnsi="Arial Narrow"/>
          <w:sz w:val="22"/>
          <w:szCs w:val="22"/>
        </w:rPr>
        <w:t xml:space="preserve">To </w:t>
      </w:r>
      <w:proofErr w:type="spellStart"/>
      <w:r w:rsidRPr="00F737BB">
        <w:rPr>
          <w:rFonts w:ascii="Arial Narrow" w:hAnsi="Arial Narrow"/>
          <w:sz w:val="22"/>
          <w:szCs w:val="22"/>
        </w:rPr>
        <w:t>analyse</w:t>
      </w:r>
      <w:proofErr w:type="spellEnd"/>
      <w:r w:rsidRPr="00F737BB">
        <w:rPr>
          <w:rFonts w:ascii="Arial Narrow" w:hAnsi="Arial Narrow"/>
          <w:sz w:val="22"/>
          <w:szCs w:val="22"/>
        </w:rPr>
        <w:t xml:space="preserve"> organizations as systems consisting of inputs, processes and outputs</w:t>
      </w:r>
    </w:p>
    <w:p w:rsidR="004E05E4" w:rsidRPr="00F737BB" w:rsidRDefault="004E05E4" w:rsidP="004E05E4">
      <w:pPr>
        <w:numPr>
          <w:ilvl w:val="0"/>
          <w:numId w:val="1"/>
        </w:numPr>
        <w:jc w:val="both"/>
        <w:rPr>
          <w:rFonts w:ascii="Arial Narrow" w:hAnsi="Arial Narrow"/>
          <w:sz w:val="22"/>
          <w:szCs w:val="22"/>
        </w:rPr>
      </w:pPr>
      <w:r w:rsidRPr="00F737BB">
        <w:rPr>
          <w:rFonts w:ascii="Arial Narrow" w:hAnsi="Arial Narrow"/>
          <w:sz w:val="22"/>
          <w:szCs w:val="22"/>
        </w:rPr>
        <w:t>To describe management functions and their application in agricultural/ farmer-led organizations</w:t>
      </w:r>
    </w:p>
    <w:p w:rsidR="004E05E4" w:rsidRPr="00F737BB" w:rsidRDefault="004E05E4" w:rsidP="004E05E4">
      <w:pPr>
        <w:numPr>
          <w:ilvl w:val="0"/>
          <w:numId w:val="1"/>
        </w:numPr>
        <w:jc w:val="both"/>
        <w:rPr>
          <w:rFonts w:ascii="Arial Narrow" w:hAnsi="Arial Narrow"/>
          <w:sz w:val="22"/>
          <w:szCs w:val="22"/>
        </w:rPr>
      </w:pPr>
      <w:r w:rsidRPr="00F737BB">
        <w:rPr>
          <w:rFonts w:ascii="Arial Narrow" w:hAnsi="Arial Narrow"/>
          <w:sz w:val="22"/>
          <w:szCs w:val="22"/>
        </w:rPr>
        <w:t>To describe leadership functions in agricultural organizations</w:t>
      </w:r>
    </w:p>
    <w:p w:rsidR="004E05E4" w:rsidRPr="00F737BB" w:rsidRDefault="004E05E4" w:rsidP="004E05E4">
      <w:pPr>
        <w:numPr>
          <w:ilvl w:val="0"/>
          <w:numId w:val="1"/>
        </w:numPr>
        <w:jc w:val="both"/>
        <w:rPr>
          <w:rFonts w:ascii="Arial Narrow" w:hAnsi="Arial Narrow"/>
          <w:sz w:val="22"/>
          <w:szCs w:val="22"/>
        </w:rPr>
      </w:pPr>
      <w:r w:rsidRPr="00F737BB">
        <w:rPr>
          <w:rFonts w:ascii="Arial Narrow" w:hAnsi="Arial Narrow"/>
          <w:sz w:val="22"/>
          <w:szCs w:val="22"/>
        </w:rPr>
        <w:t>To discuss the significance of gender in organizational development</w:t>
      </w:r>
    </w:p>
    <w:p w:rsidR="004E05E4" w:rsidRPr="00F737BB" w:rsidRDefault="004E05E4" w:rsidP="004E05E4">
      <w:pPr>
        <w:jc w:val="both"/>
        <w:rPr>
          <w:rFonts w:ascii="Arial Narrow" w:hAnsi="Arial Narrow"/>
          <w:sz w:val="22"/>
          <w:szCs w:val="22"/>
        </w:rPr>
      </w:pPr>
    </w:p>
    <w:p w:rsidR="004E05E4" w:rsidRPr="00F737BB" w:rsidRDefault="004E05E4" w:rsidP="004E05E4">
      <w:pPr>
        <w:numPr>
          <w:ilvl w:val="0"/>
          <w:numId w:val="10"/>
        </w:numPr>
        <w:jc w:val="both"/>
        <w:rPr>
          <w:rFonts w:ascii="Arial Narrow" w:hAnsi="Arial Narrow"/>
          <w:bCs/>
          <w:sz w:val="22"/>
          <w:szCs w:val="22"/>
        </w:rPr>
      </w:pPr>
      <w:r w:rsidRPr="00F737BB">
        <w:rPr>
          <w:rFonts w:ascii="Arial Narrow" w:hAnsi="Arial Narrow"/>
          <w:bCs/>
          <w:sz w:val="22"/>
          <w:szCs w:val="22"/>
        </w:rPr>
        <w:t>READING LIST</w:t>
      </w:r>
    </w:p>
    <w:p w:rsidR="004E05E4" w:rsidRPr="00F737BB" w:rsidRDefault="004E05E4" w:rsidP="004E05E4">
      <w:pPr>
        <w:jc w:val="both"/>
        <w:rPr>
          <w:rFonts w:ascii="Arial Narrow" w:hAnsi="Arial Narrow"/>
          <w:bCs/>
          <w:sz w:val="22"/>
          <w:szCs w:val="22"/>
        </w:rPr>
      </w:pPr>
    </w:p>
    <w:p w:rsidR="004E05E4" w:rsidRPr="00F737BB" w:rsidRDefault="004E05E4" w:rsidP="004E05E4">
      <w:pPr>
        <w:numPr>
          <w:ilvl w:val="0"/>
          <w:numId w:val="3"/>
        </w:numPr>
        <w:jc w:val="both"/>
        <w:rPr>
          <w:rFonts w:ascii="Arial Narrow" w:hAnsi="Arial Narrow"/>
          <w:sz w:val="22"/>
          <w:szCs w:val="22"/>
          <w:u w:val="single"/>
        </w:rPr>
      </w:pPr>
      <w:r w:rsidRPr="00F737BB">
        <w:rPr>
          <w:rFonts w:ascii="Arial Narrow" w:hAnsi="Arial Narrow"/>
          <w:sz w:val="22"/>
          <w:szCs w:val="22"/>
        </w:rPr>
        <w:t xml:space="preserve">Baron, R. A. (1983). </w:t>
      </w:r>
      <w:proofErr w:type="spellStart"/>
      <w:r w:rsidRPr="00F737BB">
        <w:rPr>
          <w:rFonts w:ascii="Arial Narrow" w:hAnsi="Arial Narrow"/>
          <w:sz w:val="22"/>
          <w:szCs w:val="22"/>
          <w:u w:val="single"/>
        </w:rPr>
        <w:t>Behaviour</w:t>
      </w:r>
      <w:proofErr w:type="spellEnd"/>
      <w:r w:rsidRPr="00F737BB">
        <w:rPr>
          <w:rFonts w:ascii="Arial Narrow" w:hAnsi="Arial Narrow"/>
          <w:sz w:val="22"/>
          <w:szCs w:val="22"/>
          <w:u w:val="single"/>
        </w:rPr>
        <w:t xml:space="preserve"> in Organization: Understanding and Managing the Human Side of Work</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lang w:val="de-DE"/>
        </w:rPr>
        <w:t xml:space="preserve">Bittle, L. R. &amp; Nenstrom, J. W. (1990). </w:t>
      </w:r>
      <w:r w:rsidRPr="00F737BB">
        <w:rPr>
          <w:rFonts w:ascii="Arial Narrow" w:hAnsi="Arial Narrow"/>
          <w:sz w:val="22"/>
          <w:szCs w:val="22"/>
          <w:u w:val="single"/>
        </w:rPr>
        <w:t>What Every Supervisor Must Know</w:t>
      </w:r>
    </w:p>
    <w:p w:rsidR="004E05E4" w:rsidRPr="00F737BB" w:rsidRDefault="004E05E4" w:rsidP="004E05E4">
      <w:pPr>
        <w:numPr>
          <w:ilvl w:val="0"/>
          <w:numId w:val="3"/>
        </w:numPr>
        <w:jc w:val="both"/>
        <w:rPr>
          <w:rFonts w:ascii="Arial Narrow" w:hAnsi="Arial Narrow"/>
          <w:sz w:val="22"/>
          <w:szCs w:val="22"/>
        </w:rPr>
      </w:pPr>
      <w:smartTag w:uri="urn:schemas-microsoft-com:office:smarttags" w:element="place">
        <w:r w:rsidRPr="00F737BB">
          <w:rPr>
            <w:rFonts w:ascii="Arial Narrow" w:hAnsi="Arial Narrow"/>
            <w:sz w:val="22"/>
            <w:szCs w:val="22"/>
          </w:rPr>
          <w:t>Blackburn</w:t>
        </w:r>
      </w:smartTag>
      <w:r w:rsidRPr="00F737BB">
        <w:rPr>
          <w:rFonts w:ascii="Arial Narrow" w:hAnsi="Arial Narrow"/>
          <w:sz w:val="22"/>
          <w:szCs w:val="22"/>
        </w:rPr>
        <w:t xml:space="preserve">, D. J. (ed.), (1994). </w:t>
      </w:r>
      <w:r w:rsidRPr="00F737BB">
        <w:rPr>
          <w:rFonts w:ascii="Arial Narrow" w:hAnsi="Arial Narrow"/>
          <w:sz w:val="22"/>
          <w:szCs w:val="22"/>
          <w:u w:val="single"/>
        </w:rPr>
        <w:t>Extension Handbook. Processes and Practices</w:t>
      </w:r>
      <w:r w:rsidRPr="00F737BB">
        <w:rPr>
          <w:rFonts w:ascii="Arial Narrow" w:hAnsi="Arial Narrow"/>
          <w:sz w:val="22"/>
          <w:szCs w:val="22"/>
        </w:rPr>
        <w:t>. Chapter 18</w:t>
      </w:r>
    </w:p>
    <w:p w:rsidR="004E05E4" w:rsidRPr="00F737BB" w:rsidRDefault="004E05E4" w:rsidP="004E05E4">
      <w:pPr>
        <w:numPr>
          <w:ilvl w:val="0"/>
          <w:numId w:val="3"/>
        </w:numPr>
        <w:jc w:val="both"/>
        <w:rPr>
          <w:rFonts w:ascii="Arial Narrow" w:hAnsi="Arial Narrow"/>
          <w:sz w:val="22"/>
          <w:szCs w:val="22"/>
        </w:rPr>
      </w:pPr>
      <w:smartTag w:uri="urn:schemas-microsoft-com:office:smarttags" w:element="place">
        <w:smartTag w:uri="urn:schemas-microsoft-com:office:smarttags" w:element="City">
          <w:r w:rsidRPr="00F737BB">
            <w:rPr>
              <w:rFonts w:ascii="Arial Narrow" w:hAnsi="Arial Narrow"/>
              <w:sz w:val="22"/>
              <w:szCs w:val="22"/>
            </w:rPr>
            <w:t>Burton</w:t>
          </w:r>
        </w:smartTag>
      </w:smartTag>
      <w:r w:rsidRPr="00F737BB">
        <w:rPr>
          <w:rFonts w:ascii="Arial Narrow" w:hAnsi="Arial Narrow"/>
          <w:sz w:val="22"/>
          <w:szCs w:val="22"/>
        </w:rPr>
        <w:t xml:space="preserve">, E. S., </w:t>
      </w:r>
      <w:proofErr w:type="spellStart"/>
      <w:r w:rsidRPr="00F737BB">
        <w:rPr>
          <w:rFonts w:ascii="Arial Narrow" w:hAnsi="Arial Narrow"/>
          <w:sz w:val="22"/>
          <w:szCs w:val="22"/>
        </w:rPr>
        <w:t>Bentz</w:t>
      </w:r>
      <w:proofErr w:type="spellEnd"/>
      <w:r w:rsidRPr="00F737BB">
        <w:rPr>
          <w:rFonts w:ascii="Arial Narrow" w:hAnsi="Arial Narrow"/>
          <w:sz w:val="22"/>
          <w:szCs w:val="22"/>
        </w:rPr>
        <w:t xml:space="preserve">, R. P. and </w:t>
      </w:r>
      <w:proofErr w:type="spellStart"/>
      <w:r w:rsidRPr="00F737BB">
        <w:rPr>
          <w:rFonts w:ascii="Arial Narrow" w:hAnsi="Arial Narrow"/>
          <w:sz w:val="22"/>
          <w:szCs w:val="22"/>
        </w:rPr>
        <w:t>Sonfanko</w:t>
      </w:r>
      <w:proofErr w:type="spellEnd"/>
      <w:r w:rsidRPr="00F737BB">
        <w:rPr>
          <w:rFonts w:ascii="Arial Narrow" w:hAnsi="Arial Narrow"/>
          <w:sz w:val="22"/>
          <w:szCs w:val="22"/>
        </w:rPr>
        <w:t>, A. J. (</w:t>
      </w:r>
      <w:proofErr w:type="gramStart"/>
      <w:r w:rsidRPr="00F737BB">
        <w:rPr>
          <w:rFonts w:ascii="Arial Narrow" w:hAnsi="Arial Narrow"/>
          <w:sz w:val="22"/>
          <w:szCs w:val="22"/>
        </w:rPr>
        <w:t>eds</w:t>
      </w:r>
      <w:proofErr w:type="gramEnd"/>
      <w:r w:rsidRPr="00F737BB">
        <w:rPr>
          <w:rFonts w:ascii="Arial Narrow" w:hAnsi="Arial Narrow"/>
          <w:sz w:val="22"/>
          <w:szCs w:val="22"/>
        </w:rPr>
        <w:t>.). (1997</w:t>
      </w:r>
      <w:r w:rsidRPr="00F737BB">
        <w:rPr>
          <w:rFonts w:ascii="Arial Narrow" w:hAnsi="Arial Narrow"/>
          <w:sz w:val="22"/>
          <w:szCs w:val="22"/>
          <w:u w:val="single"/>
        </w:rPr>
        <w:t>). Improving Agricultural Extension. A reference Manual</w:t>
      </w:r>
      <w:r w:rsidRPr="00F737BB">
        <w:rPr>
          <w:rFonts w:ascii="Arial Narrow" w:hAnsi="Arial Narrow"/>
          <w:sz w:val="22"/>
          <w:szCs w:val="22"/>
        </w:rPr>
        <w:t xml:space="preserve">. FAO, </w:t>
      </w:r>
      <w:smartTag w:uri="urn:schemas-microsoft-com:office:smarttags" w:element="place">
        <w:smartTag w:uri="urn:schemas-microsoft-com:office:smarttags" w:element="City">
          <w:r w:rsidRPr="00F737BB">
            <w:rPr>
              <w:rFonts w:ascii="Arial Narrow" w:hAnsi="Arial Narrow"/>
              <w:sz w:val="22"/>
              <w:szCs w:val="22"/>
            </w:rPr>
            <w:t>Rome</w:t>
          </w:r>
        </w:smartTag>
      </w:smartTag>
      <w:r w:rsidRPr="00F737BB">
        <w:rPr>
          <w:rFonts w:ascii="Arial Narrow" w:hAnsi="Arial Narrow"/>
          <w:sz w:val="22"/>
          <w:szCs w:val="22"/>
        </w:rPr>
        <w:t>. Chapters 13, 14 &amp; 15</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t xml:space="preserve">Cole, G. A. (1993). </w:t>
      </w:r>
      <w:r w:rsidRPr="00F737BB">
        <w:rPr>
          <w:rFonts w:ascii="Arial Narrow" w:hAnsi="Arial Narrow"/>
          <w:sz w:val="22"/>
          <w:szCs w:val="22"/>
          <w:u w:val="single"/>
        </w:rPr>
        <w:t>Management: Theory and Practice</w:t>
      </w:r>
      <w:r w:rsidRPr="00F737BB">
        <w:rPr>
          <w:rFonts w:ascii="Arial Narrow" w:hAnsi="Arial Narrow"/>
          <w:sz w:val="22"/>
          <w:szCs w:val="22"/>
        </w:rPr>
        <w:t>. 4</w:t>
      </w:r>
      <w:r w:rsidRPr="00F737BB">
        <w:rPr>
          <w:rFonts w:ascii="Arial Narrow" w:hAnsi="Arial Narrow"/>
          <w:sz w:val="22"/>
          <w:szCs w:val="22"/>
          <w:vertAlign w:val="superscript"/>
        </w:rPr>
        <w:t>th</w:t>
      </w:r>
      <w:r w:rsidRPr="00F737BB">
        <w:rPr>
          <w:rFonts w:ascii="Arial Narrow" w:hAnsi="Arial Narrow"/>
          <w:sz w:val="22"/>
          <w:szCs w:val="22"/>
        </w:rPr>
        <w:t xml:space="preserve"> Edition</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t xml:space="preserve">Handy, C. (1993). </w:t>
      </w:r>
      <w:r w:rsidRPr="00F737BB">
        <w:rPr>
          <w:rFonts w:ascii="Arial Narrow" w:hAnsi="Arial Narrow"/>
          <w:sz w:val="22"/>
          <w:szCs w:val="22"/>
          <w:u w:val="single"/>
        </w:rPr>
        <w:t>Understanding Organization</w:t>
      </w:r>
      <w:r w:rsidRPr="00F737BB">
        <w:rPr>
          <w:rFonts w:ascii="Arial Narrow" w:hAnsi="Arial Narrow"/>
          <w:sz w:val="22"/>
          <w:szCs w:val="22"/>
        </w:rPr>
        <w:t xml:space="preserve"> (4</w:t>
      </w:r>
      <w:r w:rsidRPr="00F737BB">
        <w:rPr>
          <w:rFonts w:ascii="Arial Narrow" w:hAnsi="Arial Narrow"/>
          <w:sz w:val="22"/>
          <w:szCs w:val="22"/>
          <w:vertAlign w:val="superscript"/>
        </w:rPr>
        <w:t>th</w:t>
      </w:r>
      <w:r w:rsidRPr="00F737BB">
        <w:rPr>
          <w:rFonts w:ascii="Arial Narrow" w:hAnsi="Arial Narrow"/>
          <w:sz w:val="22"/>
          <w:szCs w:val="22"/>
        </w:rPr>
        <w:t xml:space="preserve"> Edition) </w:t>
      </w:r>
      <w:smartTag w:uri="urn:schemas-microsoft-com:office:smarttags" w:element="place">
        <w:smartTag w:uri="urn:schemas-microsoft-com:office:smarttags" w:element="City">
          <w:r w:rsidRPr="00F737BB">
            <w:rPr>
              <w:rFonts w:ascii="Arial Narrow" w:hAnsi="Arial Narrow"/>
              <w:sz w:val="22"/>
              <w:szCs w:val="22"/>
            </w:rPr>
            <w:t>London</w:t>
          </w:r>
        </w:smartTag>
      </w:smartTag>
      <w:r w:rsidRPr="00F737BB">
        <w:rPr>
          <w:rFonts w:ascii="Arial Narrow" w:hAnsi="Arial Narrow"/>
          <w:sz w:val="22"/>
          <w:szCs w:val="22"/>
        </w:rPr>
        <w:t>: Penguin</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t xml:space="preserve">Hersey, P. &amp; Blanchard, K. H. (1993). </w:t>
      </w:r>
      <w:r w:rsidRPr="00F737BB">
        <w:rPr>
          <w:rFonts w:ascii="Arial Narrow" w:hAnsi="Arial Narrow"/>
          <w:sz w:val="22"/>
          <w:szCs w:val="22"/>
          <w:u w:val="single"/>
        </w:rPr>
        <w:t xml:space="preserve">Management of Organizational </w:t>
      </w:r>
      <w:proofErr w:type="spellStart"/>
      <w:r w:rsidRPr="00F737BB">
        <w:rPr>
          <w:rFonts w:ascii="Arial Narrow" w:hAnsi="Arial Narrow"/>
          <w:sz w:val="22"/>
          <w:szCs w:val="22"/>
          <w:u w:val="single"/>
        </w:rPr>
        <w:t>Behaviour</w:t>
      </w:r>
      <w:proofErr w:type="spellEnd"/>
      <w:r w:rsidRPr="00F737BB">
        <w:rPr>
          <w:rFonts w:ascii="Arial Narrow" w:hAnsi="Arial Narrow"/>
          <w:sz w:val="22"/>
          <w:szCs w:val="22"/>
          <w:u w:val="single"/>
        </w:rPr>
        <w:t>: Utilizing Human Resources</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t xml:space="preserve">Johnson, D. W. &amp; Johnson, F. P. (  ). </w:t>
      </w:r>
      <w:r w:rsidRPr="00F737BB">
        <w:rPr>
          <w:rFonts w:ascii="Arial Narrow" w:hAnsi="Arial Narrow"/>
          <w:sz w:val="22"/>
          <w:szCs w:val="22"/>
          <w:u w:val="single"/>
        </w:rPr>
        <w:t>Joining Together, Group Theory &amp; Group Skills</w:t>
      </w:r>
      <w:r w:rsidRPr="00F737BB">
        <w:rPr>
          <w:rFonts w:ascii="Arial Narrow" w:hAnsi="Arial Narrow"/>
          <w:sz w:val="22"/>
          <w:szCs w:val="22"/>
        </w:rPr>
        <w:t>. 4</w:t>
      </w:r>
      <w:r w:rsidRPr="00F737BB">
        <w:rPr>
          <w:rFonts w:ascii="Arial Narrow" w:hAnsi="Arial Narrow"/>
          <w:sz w:val="22"/>
          <w:szCs w:val="22"/>
          <w:vertAlign w:val="superscript"/>
        </w:rPr>
        <w:t>th</w:t>
      </w:r>
      <w:r w:rsidRPr="00F737BB">
        <w:rPr>
          <w:rFonts w:ascii="Arial Narrow" w:hAnsi="Arial Narrow"/>
          <w:sz w:val="22"/>
          <w:szCs w:val="22"/>
        </w:rPr>
        <w:t xml:space="preserve"> Ed.</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lang w:val="it-IT"/>
        </w:rPr>
        <w:t xml:space="preserve">Megginson, L. C., Mosley, D. C. &amp; Pietri, P. H. Jr. </w:t>
      </w:r>
      <w:r w:rsidRPr="00F737BB">
        <w:rPr>
          <w:rFonts w:ascii="Arial Narrow" w:hAnsi="Arial Narrow"/>
          <w:sz w:val="22"/>
          <w:szCs w:val="22"/>
        </w:rPr>
        <w:t>(</w:t>
      </w:r>
      <w:proofErr w:type="gramStart"/>
      <w:r w:rsidRPr="00F737BB">
        <w:rPr>
          <w:rFonts w:ascii="Arial Narrow" w:hAnsi="Arial Narrow"/>
          <w:sz w:val="22"/>
          <w:szCs w:val="22"/>
        </w:rPr>
        <w:t>1992 )</w:t>
      </w:r>
      <w:proofErr w:type="gramEnd"/>
      <w:r w:rsidRPr="00F737BB">
        <w:rPr>
          <w:rFonts w:ascii="Arial Narrow" w:hAnsi="Arial Narrow"/>
          <w:sz w:val="22"/>
          <w:szCs w:val="22"/>
        </w:rPr>
        <w:t xml:space="preserve">. </w:t>
      </w:r>
      <w:r w:rsidRPr="00F737BB">
        <w:rPr>
          <w:rFonts w:ascii="Arial Narrow" w:hAnsi="Arial Narrow"/>
          <w:sz w:val="22"/>
          <w:szCs w:val="22"/>
          <w:u w:val="single"/>
        </w:rPr>
        <w:t>Management: Concepts &amp; Applications</w:t>
      </w:r>
      <w:r w:rsidRPr="00F737BB">
        <w:rPr>
          <w:rFonts w:ascii="Arial Narrow" w:hAnsi="Arial Narrow"/>
          <w:sz w:val="22"/>
          <w:szCs w:val="22"/>
        </w:rPr>
        <w:t>. 4</w:t>
      </w:r>
      <w:r w:rsidRPr="00F737BB">
        <w:rPr>
          <w:rFonts w:ascii="Arial Narrow" w:hAnsi="Arial Narrow"/>
          <w:sz w:val="22"/>
          <w:szCs w:val="22"/>
          <w:vertAlign w:val="superscript"/>
        </w:rPr>
        <w:t>th</w:t>
      </w:r>
      <w:r w:rsidRPr="00F737BB">
        <w:rPr>
          <w:rFonts w:ascii="Arial Narrow" w:hAnsi="Arial Narrow"/>
          <w:sz w:val="22"/>
          <w:szCs w:val="22"/>
        </w:rPr>
        <w:t xml:space="preserve"> Edition. </w:t>
      </w:r>
      <w:smartTag w:uri="urn:schemas-microsoft-com:office:smarttags" w:element="place">
        <w:smartTag w:uri="urn:schemas-microsoft-com:office:smarttags" w:element="City">
          <w:r w:rsidRPr="00F737BB">
            <w:rPr>
              <w:rFonts w:ascii="Arial Narrow" w:hAnsi="Arial Narrow"/>
              <w:sz w:val="22"/>
              <w:szCs w:val="22"/>
            </w:rPr>
            <w:t>New York</w:t>
          </w:r>
        </w:smartTag>
        <w:r w:rsidRPr="00F737BB">
          <w:rPr>
            <w:rFonts w:ascii="Arial Narrow" w:hAnsi="Arial Narrow"/>
            <w:sz w:val="22"/>
            <w:szCs w:val="22"/>
          </w:rPr>
          <w:t xml:space="preserve">, </w:t>
        </w:r>
        <w:smartTag w:uri="urn:schemas-microsoft-com:office:smarttags" w:element="State">
          <w:r w:rsidRPr="00F737BB">
            <w:rPr>
              <w:rFonts w:ascii="Arial Narrow" w:hAnsi="Arial Narrow"/>
              <w:sz w:val="22"/>
              <w:szCs w:val="22"/>
            </w:rPr>
            <w:t>NY</w:t>
          </w:r>
        </w:smartTag>
      </w:smartTag>
      <w:r w:rsidRPr="00F737BB">
        <w:rPr>
          <w:rFonts w:ascii="Arial Narrow" w:hAnsi="Arial Narrow"/>
          <w:sz w:val="22"/>
          <w:szCs w:val="22"/>
        </w:rPr>
        <w:t>: Harper Collins Publishers Inc</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t xml:space="preserve">Morgan, G. (1986; 1998). </w:t>
      </w:r>
      <w:r w:rsidRPr="00F737BB">
        <w:rPr>
          <w:rFonts w:ascii="Arial Narrow" w:hAnsi="Arial Narrow"/>
          <w:sz w:val="22"/>
          <w:szCs w:val="22"/>
          <w:u w:val="single"/>
        </w:rPr>
        <w:t>Images of Organizations</w:t>
      </w:r>
    </w:p>
    <w:p w:rsidR="004E05E4" w:rsidRPr="00F737BB" w:rsidRDefault="004E05E4" w:rsidP="004E05E4">
      <w:pPr>
        <w:numPr>
          <w:ilvl w:val="0"/>
          <w:numId w:val="3"/>
        </w:numPr>
        <w:jc w:val="both"/>
        <w:rPr>
          <w:rFonts w:ascii="Arial Narrow" w:hAnsi="Arial Narrow"/>
          <w:sz w:val="22"/>
          <w:szCs w:val="22"/>
        </w:rPr>
      </w:pPr>
      <w:r w:rsidRPr="00F737BB">
        <w:rPr>
          <w:rFonts w:ascii="Arial Narrow" w:hAnsi="Arial Narrow"/>
          <w:sz w:val="22"/>
          <w:szCs w:val="22"/>
        </w:rPr>
        <w:lastRenderedPageBreak/>
        <w:t xml:space="preserve">Watson, C. E. (1998). </w:t>
      </w:r>
      <w:r w:rsidRPr="00F737BB">
        <w:rPr>
          <w:rFonts w:ascii="Arial Narrow" w:hAnsi="Arial Narrow"/>
          <w:sz w:val="22"/>
          <w:szCs w:val="22"/>
          <w:u w:val="single"/>
        </w:rPr>
        <w:t>Results Oriented Management: The Key to Effective Performance</w:t>
      </w:r>
    </w:p>
    <w:p w:rsidR="004E05E4" w:rsidRPr="00F737BB" w:rsidRDefault="004E05E4" w:rsidP="004E05E4">
      <w:pPr>
        <w:jc w:val="both"/>
        <w:rPr>
          <w:rFonts w:ascii="Arial Narrow" w:hAnsi="Arial Narrow"/>
          <w:bCs/>
          <w:sz w:val="22"/>
          <w:szCs w:val="22"/>
        </w:rPr>
      </w:pPr>
    </w:p>
    <w:p w:rsidR="004E05E4" w:rsidRPr="00F737BB" w:rsidRDefault="004E05E4" w:rsidP="004E05E4">
      <w:pPr>
        <w:numPr>
          <w:ilvl w:val="0"/>
          <w:numId w:val="10"/>
        </w:numPr>
        <w:rPr>
          <w:rFonts w:ascii="Arial Narrow" w:hAnsi="Arial Narrow"/>
          <w:sz w:val="22"/>
          <w:szCs w:val="22"/>
        </w:rPr>
      </w:pPr>
      <w:r w:rsidRPr="00F737BB">
        <w:rPr>
          <w:rFonts w:ascii="Arial Narrow" w:hAnsi="Arial Narrow"/>
          <w:sz w:val="22"/>
          <w:szCs w:val="22"/>
        </w:rPr>
        <w:t>COURSE OUTLINE</w:t>
      </w:r>
    </w:p>
    <w:p w:rsidR="004E05E4" w:rsidRPr="00F737BB" w:rsidRDefault="004E05E4" w:rsidP="004E05E4">
      <w:pPr>
        <w:rPr>
          <w:rFonts w:ascii="Arial Narrow" w:hAnsi="Arial Narrow"/>
          <w:sz w:val="22"/>
          <w:szCs w:val="22"/>
        </w:rPr>
      </w:pPr>
    </w:p>
    <w:tbl>
      <w:tblPr>
        <w:tblW w:w="9945"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2070"/>
        <w:gridCol w:w="3600"/>
        <w:gridCol w:w="1620"/>
        <w:gridCol w:w="1620"/>
      </w:tblGrid>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color w:val="000000"/>
              </w:rPr>
            </w:pP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color w:val="000000"/>
              </w:rPr>
            </w:pPr>
            <w:r w:rsidRPr="00F737BB">
              <w:rPr>
                <w:rFonts w:ascii="Arial Narrow" w:hAnsi="Arial Narrow"/>
                <w:color w:val="000000"/>
                <w:sz w:val="22"/>
                <w:szCs w:val="22"/>
              </w:rPr>
              <w:t>TOPIC</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color w:val="000000"/>
              </w:rPr>
            </w:pPr>
            <w:r w:rsidRPr="00F737BB">
              <w:rPr>
                <w:rFonts w:ascii="Arial Narrow" w:hAnsi="Arial Narrow"/>
                <w:color w:val="000000"/>
                <w:sz w:val="22"/>
                <w:szCs w:val="22"/>
              </w:rPr>
              <w:t>CONTENT</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TIME ALLOCATED</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color w:val="000000"/>
              </w:rPr>
            </w:pPr>
            <w:r w:rsidRPr="00F737BB">
              <w:rPr>
                <w:rFonts w:ascii="Arial Narrow" w:hAnsi="Arial Narrow"/>
                <w:color w:val="000000"/>
                <w:sz w:val="22"/>
                <w:szCs w:val="22"/>
              </w:rPr>
              <w:t>TOOLS / EQUIPMENT NEEDED</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5"/>
              </w:numPr>
              <w:rPr>
                <w:rFonts w:ascii="Arial Narrow" w:hAnsi="Arial Narrow"/>
              </w:rPr>
            </w:pPr>
            <w:r w:rsidRPr="00F737BB">
              <w:rPr>
                <w:rFonts w:ascii="Arial Narrow" w:hAnsi="Arial Narrow"/>
                <w:sz w:val="22"/>
                <w:szCs w:val="22"/>
              </w:rPr>
              <w:t xml:space="preserve">Introduction </w:t>
            </w:r>
          </w:p>
          <w:p w:rsidR="004E05E4" w:rsidRPr="00F737BB" w:rsidRDefault="004E05E4" w:rsidP="00786378">
            <w:pPr>
              <w:rPr>
                <w:rFonts w:ascii="Arial Narrow" w:hAnsi="Arial Narrow"/>
                <w:color w:val="000000"/>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tabs>
                <w:tab w:val="num" w:pos="252"/>
              </w:tabs>
              <w:ind w:left="252" w:hanging="252"/>
              <w:rPr>
                <w:rFonts w:ascii="Arial Narrow" w:hAnsi="Arial Narrow"/>
                <w:color w:val="000000"/>
              </w:rPr>
            </w:pPr>
            <w:r w:rsidRPr="00F737BB">
              <w:rPr>
                <w:rFonts w:ascii="Arial Narrow" w:hAnsi="Arial Narrow"/>
                <w:sz w:val="22"/>
                <w:szCs w:val="22"/>
              </w:rPr>
              <w:t>Definition of main concepts: Organization, Management, supervision</w:t>
            </w:r>
          </w:p>
          <w:p w:rsidR="004E05E4" w:rsidRPr="00F737BB" w:rsidRDefault="004E05E4" w:rsidP="004E05E4">
            <w:pPr>
              <w:numPr>
                <w:ilvl w:val="0"/>
                <w:numId w:val="4"/>
              </w:numPr>
              <w:tabs>
                <w:tab w:val="num" w:pos="252"/>
              </w:tabs>
              <w:ind w:left="252" w:hanging="252"/>
              <w:rPr>
                <w:rFonts w:ascii="Arial Narrow" w:hAnsi="Arial Narrow"/>
                <w:color w:val="000000"/>
              </w:rPr>
            </w:pPr>
            <w:r w:rsidRPr="00F737BB">
              <w:rPr>
                <w:rFonts w:ascii="Arial Narrow" w:hAnsi="Arial Narrow"/>
                <w:sz w:val="22"/>
                <w:szCs w:val="22"/>
              </w:rPr>
              <w:t>Importance and levels of Management.</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TH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2</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6"/>
              </w:numPr>
              <w:rPr>
                <w:rFonts w:ascii="Arial Narrow" w:hAnsi="Arial Narrow"/>
                <w:u w:val="single"/>
              </w:rPr>
            </w:pPr>
            <w:r w:rsidRPr="00F737BB">
              <w:rPr>
                <w:rFonts w:ascii="Arial Narrow" w:hAnsi="Arial Narrow"/>
                <w:sz w:val="22"/>
                <w:szCs w:val="22"/>
              </w:rPr>
              <w:t>Evolution of Management thought</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color w:val="000000"/>
                <w:lang w:val="fr-FR"/>
              </w:rPr>
            </w:pPr>
            <w:proofErr w:type="spellStart"/>
            <w:r w:rsidRPr="00F737BB">
              <w:rPr>
                <w:rFonts w:ascii="Arial Narrow" w:hAnsi="Arial Narrow"/>
                <w:sz w:val="22"/>
                <w:szCs w:val="22"/>
                <w:lang w:val="fr-FR"/>
              </w:rPr>
              <w:t>Pre</w:t>
            </w:r>
            <w:proofErr w:type="spellEnd"/>
            <w:r w:rsidRPr="00F737BB">
              <w:rPr>
                <w:rFonts w:ascii="Arial Narrow" w:hAnsi="Arial Narrow"/>
                <w:sz w:val="22"/>
                <w:szCs w:val="22"/>
                <w:lang w:val="fr-FR"/>
              </w:rPr>
              <w:t>-</w:t>
            </w:r>
            <w:proofErr w:type="spellStart"/>
            <w:r w:rsidRPr="00F737BB">
              <w:rPr>
                <w:rFonts w:ascii="Arial Narrow" w:hAnsi="Arial Narrow"/>
                <w:sz w:val="22"/>
                <w:szCs w:val="22"/>
                <w:lang w:val="fr-FR"/>
              </w:rPr>
              <w:t>scientific</w:t>
            </w:r>
            <w:proofErr w:type="spellEnd"/>
            <w:r w:rsidRPr="00F737BB">
              <w:rPr>
                <w:rFonts w:ascii="Arial Narrow" w:hAnsi="Arial Narrow"/>
                <w:sz w:val="22"/>
                <w:szCs w:val="22"/>
                <w:lang w:val="fr-FR"/>
              </w:rPr>
              <w:t xml:space="preserve"> management; </w:t>
            </w:r>
            <w:proofErr w:type="spellStart"/>
            <w:r w:rsidRPr="00F737BB">
              <w:rPr>
                <w:rFonts w:ascii="Arial Narrow" w:hAnsi="Arial Narrow"/>
                <w:sz w:val="22"/>
                <w:szCs w:val="22"/>
                <w:lang w:val="fr-FR"/>
              </w:rPr>
              <w:t>Scientific</w:t>
            </w:r>
            <w:proofErr w:type="spellEnd"/>
            <w:r w:rsidRPr="00F737BB">
              <w:rPr>
                <w:rFonts w:ascii="Arial Narrow" w:hAnsi="Arial Narrow"/>
                <w:sz w:val="22"/>
                <w:szCs w:val="22"/>
                <w:lang w:val="fr-FR"/>
              </w:rPr>
              <w:t xml:space="preserve"> Management; Administrative Management; </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3</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rPr>
            </w:pPr>
            <w:r w:rsidRPr="00F737BB">
              <w:rPr>
                <w:rFonts w:ascii="Arial Narrow" w:hAnsi="Arial Narrow"/>
                <w:sz w:val="22"/>
                <w:szCs w:val="22"/>
              </w:rPr>
              <w:t xml:space="preserve">Human Relations Management; </w:t>
            </w:r>
          </w:p>
          <w:p w:rsidR="004E05E4" w:rsidRPr="00F737BB" w:rsidRDefault="004E05E4" w:rsidP="004E05E4">
            <w:pPr>
              <w:numPr>
                <w:ilvl w:val="0"/>
                <w:numId w:val="4"/>
              </w:numPr>
              <w:rPr>
                <w:rFonts w:ascii="Arial Narrow" w:hAnsi="Arial Narrow"/>
              </w:rPr>
            </w:pPr>
            <w:r w:rsidRPr="00F737BB">
              <w:rPr>
                <w:rFonts w:ascii="Arial Narrow" w:hAnsi="Arial Narrow"/>
                <w:sz w:val="22"/>
                <w:szCs w:val="22"/>
              </w:rPr>
              <w:t>Modern Management – systems approach; contingency approach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4</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7"/>
              </w:numPr>
              <w:rPr>
                <w:rFonts w:ascii="Arial Narrow" w:hAnsi="Arial Narrow"/>
                <w:color w:val="000000"/>
              </w:rPr>
            </w:pPr>
            <w:r w:rsidRPr="00F737BB">
              <w:rPr>
                <w:rFonts w:ascii="Arial Narrow" w:hAnsi="Arial Narrow"/>
                <w:sz w:val="22"/>
                <w:szCs w:val="22"/>
              </w:rPr>
              <w:t>Understanding formal organizations as systems</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color w:val="000000"/>
              </w:rPr>
            </w:pPr>
            <w:r w:rsidRPr="00F737BB">
              <w:rPr>
                <w:rFonts w:ascii="Arial Narrow" w:hAnsi="Arial Narrow"/>
                <w:bCs/>
                <w:iCs/>
                <w:color w:val="000000"/>
                <w:sz w:val="22"/>
                <w:szCs w:val="22"/>
              </w:rPr>
              <w:t xml:space="preserve">System elements: Inputs/ resources; Outputs/ products, services/ ideas; Technology; Environment; Purposes; </w:t>
            </w:r>
            <w:proofErr w:type="spellStart"/>
            <w:r w:rsidRPr="00F737BB">
              <w:rPr>
                <w:rFonts w:ascii="Arial Narrow" w:hAnsi="Arial Narrow"/>
                <w:bCs/>
                <w:iCs/>
                <w:color w:val="000000"/>
                <w:sz w:val="22"/>
                <w:szCs w:val="22"/>
              </w:rPr>
              <w:t>Behaviour</w:t>
            </w:r>
            <w:proofErr w:type="spellEnd"/>
            <w:r w:rsidRPr="00F737BB">
              <w:rPr>
                <w:rFonts w:ascii="Arial Narrow" w:hAnsi="Arial Narrow"/>
                <w:bCs/>
                <w:iCs/>
                <w:color w:val="000000"/>
                <w:sz w:val="22"/>
                <w:szCs w:val="22"/>
              </w:rPr>
              <w:t xml:space="preserve"> and Processes; Culture and Structure</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 xml:space="preserve"> LCD projector</w:t>
            </w:r>
          </w:p>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Case study materials</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5</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8"/>
              </w:numPr>
              <w:rPr>
                <w:rFonts w:ascii="Arial Narrow" w:hAnsi="Arial Narrow"/>
                <w:bCs/>
              </w:rPr>
            </w:pPr>
            <w:r w:rsidRPr="00F737BB">
              <w:rPr>
                <w:rFonts w:ascii="Arial Narrow" w:hAnsi="Arial Narrow"/>
                <w:bCs/>
                <w:sz w:val="22"/>
                <w:szCs w:val="22"/>
              </w:rPr>
              <w:t>Organizational Functions</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color w:val="000000"/>
              </w:rPr>
            </w:pPr>
            <w:r w:rsidRPr="00F737BB">
              <w:rPr>
                <w:rFonts w:ascii="Arial Narrow" w:hAnsi="Arial Narrow"/>
                <w:bCs/>
                <w:sz w:val="22"/>
                <w:szCs w:val="22"/>
              </w:rPr>
              <w:t>Primary functions</w:t>
            </w:r>
          </w:p>
          <w:p w:rsidR="004E05E4" w:rsidRPr="00F737BB" w:rsidRDefault="004E05E4" w:rsidP="004E05E4">
            <w:pPr>
              <w:numPr>
                <w:ilvl w:val="0"/>
                <w:numId w:val="4"/>
              </w:numPr>
              <w:rPr>
                <w:rFonts w:ascii="Arial Narrow" w:hAnsi="Arial Narrow"/>
                <w:color w:val="000000"/>
              </w:rPr>
            </w:pPr>
            <w:r w:rsidRPr="00F737BB">
              <w:rPr>
                <w:rFonts w:ascii="Arial Narrow" w:hAnsi="Arial Narrow"/>
                <w:bCs/>
                <w:sz w:val="22"/>
                <w:szCs w:val="22"/>
              </w:rPr>
              <w:t>Support functions</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Case study materials/ take home assignment</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6</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9"/>
              </w:numPr>
              <w:rPr>
                <w:rFonts w:ascii="Arial Narrow" w:hAnsi="Arial Narrow"/>
                <w:bCs/>
              </w:rPr>
            </w:pPr>
            <w:r w:rsidRPr="00F737BB">
              <w:rPr>
                <w:rFonts w:ascii="Arial Narrow" w:hAnsi="Arial Narrow"/>
                <w:bCs/>
                <w:sz w:val="22"/>
                <w:szCs w:val="22"/>
              </w:rPr>
              <w:t>Management Functions defined</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color w:val="000000"/>
              </w:rPr>
            </w:pPr>
            <w:r w:rsidRPr="00F737BB">
              <w:rPr>
                <w:rFonts w:ascii="Arial Narrow" w:hAnsi="Arial Narrow"/>
                <w:bCs/>
                <w:sz w:val="22"/>
                <w:szCs w:val="22"/>
              </w:rPr>
              <w:t>Planning; Organizing; Leading; Controlling</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Management Functions based on Activities’ Approach</w:t>
            </w:r>
          </w:p>
          <w:p w:rsidR="004E05E4" w:rsidRPr="00F737BB" w:rsidRDefault="004E05E4" w:rsidP="004E05E4">
            <w:pPr>
              <w:numPr>
                <w:ilvl w:val="0"/>
                <w:numId w:val="4"/>
              </w:numPr>
              <w:rPr>
                <w:rFonts w:ascii="Arial Narrow" w:hAnsi="Arial Narrow"/>
                <w:color w:val="000000"/>
              </w:rPr>
            </w:pPr>
            <w:r w:rsidRPr="00F737BB">
              <w:rPr>
                <w:rFonts w:ascii="Arial Narrow" w:hAnsi="Arial Narrow"/>
                <w:bCs/>
                <w:sz w:val="22"/>
                <w:szCs w:val="22"/>
              </w:rPr>
              <w:t>Managerial Skills</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 time management exercise</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7</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9"/>
              </w:numPr>
              <w:rPr>
                <w:rFonts w:ascii="Arial Narrow" w:hAnsi="Arial Narrow"/>
                <w:color w:val="000000"/>
              </w:rPr>
            </w:pPr>
            <w:r w:rsidRPr="00F737BB">
              <w:rPr>
                <w:rFonts w:ascii="Arial Narrow" w:hAnsi="Arial Narrow"/>
                <w:bCs/>
                <w:sz w:val="22"/>
                <w:szCs w:val="22"/>
              </w:rPr>
              <w:t>Planning as a Management Function:</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 xml:space="preserve">Planning Approaches; </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 xml:space="preserve">Types of plans; </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Characteristics of effective planning;</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 xml:space="preserve">Barriers to effective planning; </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8</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bCs/>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 xml:space="preserve">Management by Objectives; </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 xml:space="preserve">Strategic Planning; </w:t>
            </w:r>
          </w:p>
          <w:p w:rsidR="004E05E4" w:rsidRPr="00F737BB" w:rsidRDefault="004E05E4" w:rsidP="004E05E4">
            <w:pPr>
              <w:numPr>
                <w:ilvl w:val="0"/>
                <w:numId w:val="4"/>
              </w:numPr>
              <w:rPr>
                <w:rFonts w:ascii="Arial Narrow" w:hAnsi="Arial Narrow"/>
                <w:bCs/>
              </w:rPr>
            </w:pPr>
            <w:r w:rsidRPr="00F737BB">
              <w:rPr>
                <w:rFonts w:ascii="Arial Narrow" w:hAnsi="Arial Narrow"/>
                <w:bCs/>
                <w:sz w:val="22"/>
                <w:szCs w:val="22"/>
              </w:rPr>
              <w:t>Decision Making</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TH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9</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9"/>
              </w:numPr>
              <w:rPr>
                <w:rFonts w:ascii="Arial Narrow" w:hAnsi="Arial Narrow"/>
                <w:color w:val="000000"/>
              </w:rPr>
            </w:pPr>
            <w:r w:rsidRPr="00F737BB">
              <w:rPr>
                <w:rFonts w:ascii="Arial Narrow" w:hAnsi="Arial Narrow"/>
                <w:bCs/>
                <w:sz w:val="22"/>
                <w:szCs w:val="22"/>
              </w:rPr>
              <w:t>Organizing as a Management Function</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Organizational charts;</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Bureaucracy;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Types of Organization; Span of Management;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Departmentalization;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Mechanistic Versus Organic Systems; </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TH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 take home assignment</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10</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bCs/>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Delegating Authority;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Types of Authority;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lastRenderedPageBreak/>
              <w:t xml:space="preserve">Power;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Accountability;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Decentralization;</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Committees-standing, ad hoc and task forces;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Staffing and Human Resource Management.</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lastRenderedPageBreak/>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lastRenderedPageBreak/>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lastRenderedPageBreak/>
              <w:t>WEEK 11</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9"/>
              </w:numPr>
              <w:rPr>
                <w:rFonts w:ascii="Arial Narrow" w:hAnsi="Arial Narrow"/>
                <w:color w:val="000000"/>
              </w:rPr>
            </w:pPr>
            <w:r w:rsidRPr="00F737BB">
              <w:rPr>
                <w:rFonts w:ascii="Arial Narrow" w:hAnsi="Arial Narrow"/>
                <w:bCs/>
                <w:iCs/>
                <w:sz w:val="22"/>
                <w:szCs w:val="22"/>
              </w:rPr>
              <w:t>Leading as a management function</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Leadership defined;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Types of leaders; </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Leadership functions – leading, communicating, and motivating </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 Leadership exercise</w:t>
            </w: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12</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bCs/>
                <w:iCs/>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Leadership theories: trait and situational leadership theories</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 xml:space="preserve">Leadership </w:t>
            </w:r>
            <w:proofErr w:type="spellStart"/>
            <w:r w:rsidRPr="00F737BB">
              <w:rPr>
                <w:rFonts w:ascii="Arial Narrow" w:hAnsi="Arial Narrow"/>
                <w:bCs/>
                <w:iCs/>
                <w:sz w:val="22"/>
                <w:szCs w:val="22"/>
              </w:rPr>
              <w:t>behaviour</w:t>
            </w:r>
            <w:proofErr w:type="spellEnd"/>
            <w:r w:rsidRPr="00F737BB">
              <w:rPr>
                <w:rFonts w:ascii="Arial Narrow" w:hAnsi="Arial Narrow"/>
                <w:bCs/>
                <w:iCs/>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TH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13</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bCs/>
                <w:iCs/>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Motivating employees-motivating and hygiene factors</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Maslow’s Hierarchy of Needs</w:t>
            </w:r>
          </w:p>
          <w:p w:rsidR="004E05E4" w:rsidRPr="00F737BB" w:rsidRDefault="004E05E4" w:rsidP="004E05E4">
            <w:pPr>
              <w:numPr>
                <w:ilvl w:val="0"/>
                <w:numId w:val="4"/>
              </w:numPr>
              <w:rPr>
                <w:rFonts w:ascii="Arial Narrow" w:hAnsi="Arial Narrow"/>
                <w:bCs/>
                <w:iCs/>
              </w:rPr>
            </w:pPr>
            <w:proofErr w:type="spellStart"/>
            <w:r w:rsidRPr="00F737BB">
              <w:rPr>
                <w:rFonts w:ascii="Arial Narrow" w:hAnsi="Arial Narrow"/>
                <w:bCs/>
                <w:iCs/>
                <w:sz w:val="22"/>
                <w:szCs w:val="22"/>
              </w:rPr>
              <w:t>MCGregor’s</w:t>
            </w:r>
            <w:proofErr w:type="spellEnd"/>
            <w:r w:rsidRPr="00F737BB">
              <w:rPr>
                <w:rFonts w:ascii="Arial Narrow" w:hAnsi="Arial Narrow"/>
                <w:bCs/>
                <w:iCs/>
                <w:sz w:val="22"/>
                <w:szCs w:val="22"/>
              </w:rPr>
              <w:t xml:space="preserve"> Theory X and Theory Y;</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14</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bCs/>
                <w:iCs/>
              </w:rPr>
            </w:pP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Communication in Organizations; non verbal communication and interpersonal relations</w:t>
            </w:r>
          </w:p>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Values and ethics</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TH</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p>
        </w:tc>
      </w:tr>
      <w:tr w:rsidR="004E05E4" w:rsidRPr="00F737BB" w:rsidTr="00786378">
        <w:trPr>
          <w:jc w:val="center"/>
        </w:trPr>
        <w:tc>
          <w:tcPr>
            <w:tcW w:w="1035"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jc w:val="center"/>
              <w:rPr>
                <w:rFonts w:ascii="Arial Narrow" w:hAnsi="Arial Narrow"/>
              </w:rPr>
            </w:pPr>
            <w:r w:rsidRPr="00F737BB">
              <w:rPr>
                <w:rFonts w:ascii="Arial Narrow" w:hAnsi="Arial Narrow"/>
                <w:sz w:val="22"/>
                <w:szCs w:val="22"/>
              </w:rPr>
              <w:t>WEEK 15</w:t>
            </w:r>
          </w:p>
        </w:tc>
        <w:tc>
          <w:tcPr>
            <w:tcW w:w="207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9"/>
              </w:numPr>
              <w:rPr>
                <w:rFonts w:ascii="Arial Narrow" w:hAnsi="Arial Narrow"/>
                <w:color w:val="000000"/>
              </w:rPr>
            </w:pPr>
            <w:r w:rsidRPr="00F737BB">
              <w:rPr>
                <w:rFonts w:ascii="Arial Narrow" w:hAnsi="Arial Narrow"/>
                <w:bCs/>
                <w:iCs/>
                <w:sz w:val="22"/>
                <w:szCs w:val="22"/>
              </w:rPr>
              <w:t>Control as a management function</w:t>
            </w:r>
          </w:p>
        </w:tc>
        <w:tc>
          <w:tcPr>
            <w:tcW w:w="3600" w:type="dxa"/>
            <w:tcBorders>
              <w:top w:val="single" w:sz="4" w:space="0" w:color="auto"/>
              <w:left w:val="single" w:sz="4" w:space="0" w:color="auto"/>
              <w:bottom w:val="single" w:sz="4" w:space="0" w:color="auto"/>
              <w:right w:val="single" w:sz="4" w:space="0" w:color="auto"/>
            </w:tcBorders>
          </w:tcPr>
          <w:p w:rsidR="004E05E4" w:rsidRPr="00F737BB" w:rsidRDefault="004E05E4" w:rsidP="004E05E4">
            <w:pPr>
              <w:numPr>
                <w:ilvl w:val="0"/>
                <w:numId w:val="4"/>
              </w:numPr>
              <w:rPr>
                <w:rFonts w:ascii="Arial Narrow" w:hAnsi="Arial Narrow"/>
                <w:bCs/>
                <w:iCs/>
              </w:rPr>
            </w:pPr>
            <w:r w:rsidRPr="00F737BB">
              <w:rPr>
                <w:rFonts w:ascii="Arial Narrow" w:hAnsi="Arial Narrow"/>
                <w:bCs/>
                <w:iCs/>
                <w:sz w:val="22"/>
                <w:szCs w:val="22"/>
              </w:rPr>
              <w:t>Types of Control; performance standards; measurement and adjustment/ corrective action</w:t>
            </w:r>
          </w:p>
          <w:p w:rsidR="004E05E4" w:rsidRPr="00F737BB" w:rsidRDefault="004E05E4" w:rsidP="004E05E4">
            <w:pPr>
              <w:numPr>
                <w:ilvl w:val="0"/>
                <w:numId w:val="4"/>
              </w:numPr>
              <w:rPr>
                <w:rFonts w:ascii="Arial Narrow" w:hAnsi="Arial Narrow"/>
                <w:bCs/>
                <w:iCs/>
              </w:rPr>
            </w:pPr>
            <w:r w:rsidRPr="00F737BB">
              <w:rPr>
                <w:rFonts w:ascii="Arial Narrow" w:hAnsi="Arial Narrow"/>
                <w:bCs/>
                <w:sz w:val="22"/>
                <w:szCs w:val="22"/>
              </w:rPr>
              <w:t>Course unit exam</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ILH</w:t>
            </w:r>
          </w:p>
          <w:p w:rsidR="004E05E4" w:rsidRPr="00F737BB" w:rsidRDefault="004E05E4" w:rsidP="00786378">
            <w:pPr>
              <w:ind w:right="-108"/>
              <w:jc w:val="center"/>
              <w:rPr>
                <w:rFonts w:ascii="Arial Narrow" w:hAnsi="Arial Narrow"/>
                <w:color w:val="000000"/>
              </w:rPr>
            </w:pP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2 ISH</w:t>
            </w:r>
          </w:p>
          <w:p w:rsidR="004E05E4" w:rsidRPr="00F737BB" w:rsidRDefault="004E05E4" w:rsidP="00786378">
            <w:pPr>
              <w:ind w:right="-108"/>
              <w:jc w:val="center"/>
              <w:rPr>
                <w:rFonts w:ascii="Arial Narrow" w:hAnsi="Arial Narrow"/>
                <w:color w:val="000000"/>
              </w:rPr>
            </w:pPr>
            <w:r w:rsidRPr="00F737BB">
              <w:rPr>
                <w:rFonts w:ascii="Arial Narrow" w:hAnsi="Arial Narrow"/>
                <w:color w:val="000000"/>
                <w:sz w:val="22"/>
                <w:szCs w:val="22"/>
              </w:rPr>
              <w:t>1 hr exam</w:t>
            </w:r>
          </w:p>
        </w:tc>
        <w:tc>
          <w:tcPr>
            <w:tcW w:w="1620" w:type="dxa"/>
            <w:tcBorders>
              <w:top w:val="single" w:sz="4" w:space="0" w:color="auto"/>
              <w:left w:val="single" w:sz="4" w:space="0" w:color="auto"/>
              <w:bottom w:val="single" w:sz="4" w:space="0" w:color="auto"/>
              <w:right w:val="single" w:sz="4" w:space="0" w:color="auto"/>
            </w:tcBorders>
          </w:tcPr>
          <w:p w:rsidR="004E05E4" w:rsidRPr="00F737BB" w:rsidRDefault="004E05E4" w:rsidP="00786378">
            <w:pPr>
              <w:rPr>
                <w:rFonts w:ascii="Arial Narrow" w:hAnsi="Arial Narrow"/>
                <w:color w:val="000000"/>
              </w:rPr>
            </w:pPr>
            <w:r w:rsidRPr="00F737BB">
              <w:rPr>
                <w:rFonts w:ascii="Arial Narrow" w:hAnsi="Arial Narrow"/>
                <w:color w:val="000000"/>
                <w:sz w:val="22"/>
                <w:szCs w:val="22"/>
              </w:rPr>
              <w:t>LCD projector</w:t>
            </w: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Handouts</w:t>
            </w:r>
          </w:p>
          <w:p w:rsidR="004E05E4" w:rsidRPr="00F737BB" w:rsidRDefault="004E05E4" w:rsidP="00786378">
            <w:pPr>
              <w:rPr>
                <w:rFonts w:ascii="Arial Narrow" w:hAnsi="Arial Narrow"/>
                <w:color w:val="000000"/>
              </w:rPr>
            </w:pPr>
            <w:r w:rsidRPr="00F737BB">
              <w:rPr>
                <w:rFonts w:ascii="Arial Narrow" w:hAnsi="Arial Narrow"/>
                <w:color w:val="000000"/>
                <w:sz w:val="22"/>
                <w:szCs w:val="22"/>
              </w:rPr>
              <w:t xml:space="preserve">Paper </w:t>
            </w:r>
          </w:p>
        </w:tc>
      </w:tr>
    </w:tbl>
    <w:p w:rsidR="004E05E4" w:rsidRPr="00F737BB" w:rsidRDefault="004E05E4" w:rsidP="004E05E4">
      <w:pPr>
        <w:jc w:val="both"/>
        <w:rPr>
          <w:rFonts w:ascii="Arial Narrow" w:hAnsi="Arial Narrow"/>
          <w:color w:val="000000"/>
          <w:sz w:val="22"/>
          <w:szCs w:val="22"/>
        </w:rPr>
      </w:pPr>
    </w:p>
    <w:p w:rsidR="004E05E4" w:rsidRPr="00F737BB" w:rsidRDefault="004E05E4" w:rsidP="004E05E4">
      <w:pPr>
        <w:jc w:val="both"/>
        <w:rPr>
          <w:rFonts w:ascii="Arial Narrow" w:hAnsi="Arial Narrow"/>
          <w:color w:val="000000"/>
          <w:sz w:val="22"/>
          <w:szCs w:val="22"/>
        </w:rPr>
      </w:pPr>
    </w:p>
    <w:p w:rsidR="004E05E4" w:rsidRPr="00F737BB" w:rsidRDefault="004E05E4" w:rsidP="004E05E4">
      <w:pPr>
        <w:numPr>
          <w:ilvl w:val="0"/>
          <w:numId w:val="10"/>
        </w:numPr>
        <w:jc w:val="both"/>
        <w:rPr>
          <w:rFonts w:ascii="Arial Narrow" w:hAnsi="Arial Narrow"/>
          <w:color w:val="000000"/>
          <w:sz w:val="22"/>
          <w:szCs w:val="22"/>
        </w:rPr>
      </w:pPr>
      <w:r w:rsidRPr="00F737BB">
        <w:rPr>
          <w:rFonts w:ascii="Arial Narrow" w:hAnsi="Arial Narrow"/>
          <w:color w:val="000000"/>
          <w:sz w:val="22"/>
          <w:szCs w:val="22"/>
        </w:rPr>
        <w:t>SUMMARY OF TIME NEEDED</w:t>
      </w:r>
    </w:p>
    <w:p w:rsidR="004E05E4" w:rsidRPr="00F737BB" w:rsidRDefault="004E05E4" w:rsidP="004E05E4">
      <w:pPr>
        <w:jc w:val="both"/>
        <w:rPr>
          <w:rFonts w:ascii="Arial Narrow" w:hAnsi="Arial Narrow"/>
          <w:color w:val="000000"/>
          <w:sz w:val="22"/>
          <w:szCs w:val="22"/>
        </w:rPr>
      </w:pPr>
    </w:p>
    <w:p w:rsidR="004E05E4" w:rsidRPr="00F737BB" w:rsidRDefault="004E05E4" w:rsidP="004E05E4">
      <w:pPr>
        <w:jc w:val="both"/>
        <w:rPr>
          <w:rFonts w:ascii="Arial Narrow" w:hAnsi="Arial Narrow"/>
          <w:color w:val="000000"/>
          <w:sz w:val="22"/>
          <w:szCs w:val="22"/>
        </w:rPr>
      </w:pPr>
      <w:r w:rsidRPr="00F737BB">
        <w:rPr>
          <w:rFonts w:ascii="Arial Narrow" w:hAnsi="Arial Narrow"/>
          <w:color w:val="000000"/>
          <w:sz w:val="22"/>
          <w:szCs w:val="22"/>
        </w:rPr>
        <w:t>Interactive lectures covering theory (ILH)</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30 hrs</w:t>
      </w:r>
    </w:p>
    <w:p w:rsidR="004E05E4" w:rsidRPr="00F737BB" w:rsidRDefault="004E05E4" w:rsidP="004E05E4">
      <w:pPr>
        <w:jc w:val="both"/>
        <w:rPr>
          <w:rFonts w:ascii="Arial Narrow" w:hAnsi="Arial Narrow"/>
          <w:color w:val="000000"/>
          <w:sz w:val="22"/>
          <w:szCs w:val="22"/>
        </w:rPr>
      </w:pPr>
      <w:r w:rsidRPr="00F737BB">
        <w:rPr>
          <w:rFonts w:ascii="Arial Narrow" w:hAnsi="Arial Narrow"/>
          <w:color w:val="000000"/>
          <w:sz w:val="22"/>
          <w:szCs w:val="22"/>
        </w:rPr>
        <w:t>Tutorial hours (TH) – based on class discussions of implications to field</w:t>
      </w:r>
      <w:r w:rsidRPr="00F737BB">
        <w:rPr>
          <w:rFonts w:ascii="Arial Narrow" w:hAnsi="Arial Narrow"/>
          <w:color w:val="000000"/>
          <w:sz w:val="22"/>
          <w:szCs w:val="22"/>
        </w:rPr>
        <w:tab/>
      </w:r>
      <w:r w:rsidRPr="00F737BB">
        <w:rPr>
          <w:rFonts w:ascii="Arial Narrow" w:hAnsi="Arial Narrow"/>
          <w:color w:val="000000"/>
          <w:sz w:val="22"/>
          <w:szCs w:val="22"/>
        </w:rPr>
        <w:tab/>
      </w:r>
      <w:r>
        <w:rPr>
          <w:rFonts w:ascii="Arial Narrow" w:hAnsi="Arial Narrow"/>
          <w:color w:val="000000"/>
          <w:sz w:val="22"/>
          <w:szCs w:val="22"/>
        </w:rPr>
        <w:tab/>
      </w:r>
      <w:r w:rsidRPr="00F737BB">
        <w:rPr>
          <w:rFonts w:ascii="Arial Narrow" w:hAnsi="Arial Narrow"/>
          <w:color w:val="000000"/>
          <w:sz w:val="22"/>
          <w:szCs w:val="22"/>
        </w:rPr>
        <w:t>10 hrs</w:t>
      </w:r>
    </w:p>
    <w:p w:rsidR="004E05E4" w:rsidRPr="00F737BB" w:rsidRDefault="004E05E4" w:rsidP="004E05E4">
      <w:pPr>
        <w:jc w:val="both"/>
        <w:rPr>
          <w:rFonts w:ascii="Arial Narrow" w:hAnsi="Arial Narrow"/>
          <w:color w:val="000000"/>
          <w:sz w:val="22"/>
          <w:szCs w:val="22"/>
        </w:rPr>
      </w:pPr>
      <w:r w:rsidRPr="00F737BB">
        <w:rPr>
          <w:rFonts w:ascii="Arial Narrow" w:hAnsi="Arial Narrow"/>
          <w:color w:val="000000"/>
          <w:sz w:val="22"/>
          <w:szCs w:val="22"/>
        </w:rPr>
        <w:t>Independent Study Hours (ISH) based on handouts and reading list</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20 hrs</w:t>
      </w:r>
    </w:p>
    <w:p w:rsidR="004E05E4" w:rsidRPr="00F737BB" w:rsidRDefault="004E05E4" w:rsidP="004E05E4">
      <w:pPr>
        <w:jc w:val="both"/>
        <w:rPr>
          <w:rFonts w:ascii="Arial Narrow" w:hAnsi="Arial Narrow"/>
          <w:color w:val="000000"/>
          <w:sz w:val="22"/>
          <w:szCs w:val="22"/>
        </w:rPr>
      </w:pPr>
    </w:p>
    <w:p w:rsidR="004E05E4" w:rsidRPr="00F737BB" w:rsidRDefault="004E05E4" w:rsidP="004E05E4">
      <w:pPr>
        <w:numPr>
          <w:ilvl w:val="0"/>
          <w:numId w:val="10"/>
        </w:numPr>
        <w:jc w:val="both"/>
        <w:rPr>
          <w:rFonts w:ascii="Arial Narrow" w:hAnsi="Arial Narrow"/>
          <w:color w:val="000000"/>
          <w:sz w:val="22"/>
          <w:szCs w:val="22"/>
        </w:rPr>
      </w:pPr>
      <w:r w:rsidRPr="00F737BB">
        <w:rPr>
          <w:rFonts w:ascii="Arial Narrow" w:hAnsi="Arial Narrow"/>
          <w:color w:val="000000"/>
          <w:sz w:val="22"/>
          <w:szCs w:val="22"/>
        </w:rPr>
        <w:t>COURSE EVALUATION</w:t>
      </w:r>
    </w:p>
    <w:p w:rsidR="004E05E4" w:rsidRPr="00F737BB" w:rsidRDefault="004E05E4" w:rsidP="004E05E4">
      <w:pPr>
        <w:jc w:val="both"/>
        <w:rPr>
          <w:rFonts w:ascii="Arial Narrow" w:hAnsi="Arial Narrow"/>
          <w:color w:val="000000"/>
          <w:sz w:val="22"/>
          <w:szCs w:val="22"/>
        </w:rPr>
      </w:pPr>
    </w:p>
    <w:p w:rsidR="004E05E4" w:rsidRPr="00F737BB" w:rsidRDefault="004E05E4" w:rsidP="004E05E4">
      <w:pPr>
        <w:jc w:val="both"/>
        <w:rPr>
          <w:rFonts w:ascii="Arial Narrow" w:hAnsi="Arial Narrow"/>
          <w:color w:val="000000"/>
          <w:sz w:val="22"/>
          <w:szCs w:val="22"/>
        </w:rPr>
      </w:pPr>
      <w:r w:rsidRPr="00F737BB">
        <w:rPr>
          <w:rFonts w:ascii="Arial Narrow" w:hAnsi="Arial Narrow"/>
          <w:color w:val="000000"/>
          <w:sz w:val="22"/>
          <w:szCs w:val="22"/>
        </w:rPr>
        <w:t>Continuous Assessment Test</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t xml:space="preserve">20% </w:t>
      </w:r>
    </w:p>
    <w:p w:rsidR="004E05E4" w:rsidRPr="00F737BB" w:rsidRDefault="004E05E4" w:rsidP="004E05E4">
      <w:pPr>
        <w:jc w:val="both"/>
        <w:rPr>
          <w:rFonts w:ascii="Arial Narrow" w:hAnsi="Arial Narrow"/>
          <w:color w:val="000000"/>
          <w:sz w:val="22"/>
          <w:szCs w:val="22"/>
        </w:rPr>
      </w:pPr>
      <w:r w:rsidRPr="00F737BB">
        <w:rPr>
          <w:rFonts w:ascii="Arial Narrow" w:hAnsi="Arial Narrow"/>
          <w:color w:val="000000"/>
          <w:sz w:val="22"/>
          <w:szCs w:val="22"/>
        </w:rPr>
        <w:t>Take-home assignments/ group work</w:t>
      </w:r>
      <w:r w:rsidRPr="00F737BB">
        <w:rPr>
          <w:rFonts w:ascii="Arial Narrow" w:hAnsi="Arial Narrow"/>
          <w:color w:val="000000"/>
          <w:sz w:val="22"/>
          <w:szCs w:val="22"/>
        </w:rPr>
        <w:tab/>
      </w:r>
      <w:r w:rsidRPr="00F737BB">
        <w:rPr>
          <w:rFonts w:ascii="Arial Narrow" w:hAnsi="Arial Narrow"/>
          <w:color w:val="000000"/>
          <w:sz w:val="22"/>
          <w:szCs w:val="22"/>
        </w:rPr>
        <w:tab/>
        <w:t xml:space="preserve">20% </w:t>
      </w:r>
    </w:p>
    <w:p w:rsidR="004E05E4" w:rsidRPr="00F737BB" w:rsidRDefault="004E05E4" w:rsidP="004E05E4">
      <w:pPr>
        <w:jc w:val="both"/>
        <w:rPr>
          <w:rFonts w:ascii="Arial Narrow" w:hAnsi="Arial Narrow"/>
          <w:sz w:val="22"/>
          <w:szCs w:val="22"/>
        </w:rPr>
      </w:pPr>
      <w:r w:rsidRPr="00F737BB">
        <w:rPr>
          <w:rFonts w:ascii="Arial Narrow" w:hAnsi="Arial Narrow"/>
          <w:color w:val="000000"/>
          <w:sz w:val="22"/>
          <w:szCs w:val="22"/>
        </w:rPr>
        <w:t>Final examination</w:t>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sidRPr="00F737BB">
        <w:rPr>
          <w:rFonts w:ascii="Arial Narrow" w:hAnsi="Arial Narrow"/>
          <w:color w:val="000000"/>
          <w:sz w:val="22"/>
          <w:szCs w:val="22"/>
        </w:rPr>
        <w:tab/>
      </w:r>
      <w:r>
        <w:rPr>
          <w:rFonts w:ascii="Arial Narrow" w:hAnsi="Arial Narrow"/>
          <w:color w:val="000000"/>
          <w:sz w:val="22"/>
          <w:szCs w:val="22"/>
        </w:rPr>
        <w:tab/>
      </w:r>
      <w:r w:rsidRPr="00F737BB">
        <w:rPr>
          <w:rFonts w:ascii="Arial Narrow" w:hAnsi="Arial Narrow"/>
          <w:color w:val="000000"/>
          <w:sz w:val="22"/>
          <w:szCs w:val="22"/>
        </w:rPr>
        <w:t>60%</w:t>
      </w:r>
    </w:p>
    <w:p w:rsidR="001C3396" w:rsidRDefault="001C3396">
      <w:bookmarkStart w:id="0" w:name="_GoBack"/>
      <w:bookmarkEnd w:id="0"/>
    </w:p>
    <w:sectPr w:rsidR="001C3396" w:rsidSect="00010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336"/>
    <w:multiLevelType w:val="hybridMultilevel"/>
    <w:tmpl w:val="C7A8FB0A"/>
    <w:lvl w:ilvl="0" w:tplc="10003BBA">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1FEB2371"/>
    <w:multiLevelType w:val="hybridMultilevel"/>
    <w:tmpl w:val="1D128894"/>
    <w:lvl w:ilvl="0" w:tplc="428E9FA2">
      <w:start w:val="4"/>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31F7002"/>
    <w:multiLevelType w:val="hybridMultilevel"/>
    <w:tmpl w:val="BA4467E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48203C62"/>
    <w:multiLevelType w:val="hybridMultilevel"/>
    <w:tmpl w:val="69D8E9E0"/>
    <w:lvl w:ilvl="0" w:tplc="6DB8AA6C">
      <w:start w:val="16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48703BE0"/>
    <w:multiLevelType w:val="hybridMultilevel"/>
    <w:tmpl w:val="810C111E"/>
    <w:lvl w:ilvl="0" w:tplc="4644153E">
      <w:start w:val="2"/>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4DB55739"/>
    <w:multiLevelType w:val="hybridMultilevel"/>
    <w:tmpl w:val="138C27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F57944"/>
    <w:multiLevelType w:val="hybridMultilevel"/>
    <w:tmpl w:val="00204DAA"/>
    <w:lvl w:ilvl="0" w:tplc="6DB8AA6C">
      <w:start w:val="164"/>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D81A15"/>
    <w:multiLevelType w:val="hybridMultilevel"/>
    <w:tmpl w:val="A3D82696"/>
    <w:lvl w:ilvl="0" w:tplc="F126D2B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DD2FB5"/>
    <w:multiLevelType w:val="hybridMultilevel"/>
    <w:tmpl w:val="C9AEBB8A"/>
    <w:lvl w:ilvl="0" w:tplc="FC40AA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583DF9"/>
    <w:multiLevelType w:val="hybridMultilevel"/>
    <w:tmpl w:val="C504B9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6"/>
  </w:num>
  <w:num w:numId="4">
    <w:abstractNumId w:val="3"/>
  </w:num>
  <w:num w:numId="5">
    <w:abstractNumId w:val="2"/>
  </w:num>
  <w:num w:numId="6">
    <w:abstractNumId w:val="4"/>
  </w:num>
  <w:num w:numId="7">
    <w:abstractNumId w:val="0"/>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05E4"/>
    <w:rsid w:val="000103DB"/>
    <w:rsid w:val="00050608"/>
    <w:rsid w:val="001668D8"/>
    <w:rsid w:val="001C3396"/>
    <w:rsid w:val="001F160E"/>
    <w:rsid w:val="001F2F3E"/>
    <w:rsid w:val="00275EBF"/>
    <w:rsid w:val="004E05E4"/>
    <w:rsid w:val="00563212"/>
    <w:rsid w:val="00613CA4"/>
    <w:rsid w:val="006E059C"/>
    <w:rsid w:val="00745640"/>
    <w:rsid w:val="00822069"/>
    <w:rsid w:val="00867664"/>
    <w:rsid w:val="008F7FC7"/>
    <w:rsid w:val="0097075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893</Words>
  <Characters>5095</Characters>
  <Application>Microsoft Office Word</Application>
  <DocSecurity>0</DocSecurity>
  <Lines>42</Lines>
  <Paragraphs>11</Paragraphs>
  <ScaleCrop>false</ScaleCrop>
  <Company>Microsoft</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2014-06-26T12:17:00Z</dcterms:created>
  <dcterms:modified xsi:type="dcterms:W3CDTF">2014-06-26T12:17:00Z</dcterms:modified>
</cp:coreProperties>
</file>