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22" w:rsidRPr="005736C2" w:rsidRDefault="00B12622" w:rsidP="00B12622">
      <w:pPr>
        <w:pStyle w:val="Heading2"/>
      </w:pPr>
      <w:bookmarkStart w:id="0" w:name="_Toc270000234"/>
      <w:r>
        <w:t xml:space="preserve">BHR 3104 </w:t>
      </w:r>
      <w:r w:rsidRPr="005736C2">
        <w:t>MANAGEMENT OF CHANGE</w:t>
      </w:r>
      <w:bookmarkEnd w:id="0"/>
    </w:p>
    <w:p w:rsidR="00B12622" w:rsidRPr="005736C2" w:rsidRDefault="00B12622" w:rsidP="00B12622">
      <w:pPr>
        <w:jc w:val="both"/>
        <w:rPr>
          <w:b/>
        </w:rPr>
      </w:pPr>
      <w:r w:rsidRPr="005736C2">
        <w:rPr>
          <w:b/>
        </w:rPr>
        <w:t>Short Description</w:t>
      </w:r>
    </w:p>
    <w:p w:rsidR="00B12622" w:rsidRPr="005736C2" w:rsidRDefault="00B12622" w:rsidP="00B12622">
      <w:pPr>
        <w:autoSpaceDE w:val="0"/>
        <w:autoSpaceDN w:val="0"/>
        <w:adjustRightInd w:val="0"/>
        <w:spacing w:before="120"/>
        <w:jc w:val="both"/>
      </w:pPr>
      <w:r w:rsidRPr="005736C2">
        <w:t xml:space="preserve">The course examines the notion  of  organizational renewal  and  considers the  consequences of change in terms of  the  volume,  momentum,  and  complexity  that  it  may  mean  for  human </w:t>
      </w:r>
      <w:proofErr w:type="spellStart"/>
      <w:r w:rsidRPr="005736C2">
        <w:t>behaviour</w:t>
      </w:r>
      <w:proofErr w:type="spellEnd"/>
      <w:r w:rsidRPr="005736C2">
        <w:t xml:space="preserve">  in  </w:t>
      </w:r>
      <w:proofErr w:type="spellStart"/>
      <w:r w:rsidRPr="005736C2">
        <w:t>organisations</w:t>
      </w:r>
      <w:proofErr w:type="spellEnd"/>
      <w:r w:rsidRPr="005736C2">
        <w:t xml:space="preserve">  and  the  human  resource  practices  that  support  them. Emphasis is put on  what  causes  </w:t>
      </w:r>
      <w:proofErr w:type="spellStart"/>
      <w:r w:rsidRPr="005736C2">
        <w:t>organisations</w:t>
      </w:r>
      <w:proofErr w:type="spellEnd"/>
      <w:r w:rsidRPr="005736C2">
        <w:t xml:space="preserve">  to  change,  the  important  role  of change  agents  and  change leaders  in  successful  change  programs,  and  develop strategies  to  </w:t>
      </w:r>
      <w:proofErr w:type="spellStart"/>
      <w:r w:rsidRPr="005736C2">
        <w:t>minimise</w:t>
      </w:r>
      <w:proofErr w:type="spellEnd"/>
      <w:r w:rsidRPr="005736C2">
        <w:t xml:space="preserve">  resistance  and build commitment  to  the  change  program.  Emphasis is placed on sustaining change by building </w:t>
      </w:r>
      <w:proofErr w:type="spellStart"/>
      <w:r w:rsidRPr="005736C2">
        <w:t>organisational</w:t>
      </w:r>
      <w:proofErr w:type="spellEnd"/>
      <w:r w:rsidRPr="005736C2">
        <w:t xml:space="preserve"> capability involving human resource and </w:t>
      </w:r>
      <w:proofErr w:type="spellStart"/>
      <w:r w:rsidRPr="005736C2">
        <w:t>organisational</w:t>
      </w:r>
      <w:proofErr w:type="spellEnd"/>
      <w:r w:rsidRPr="005736C2">
        <w:t xml:space="preserve"> practices and processes which have the potential to sustain the </w:t>
      </w:r>
      <w:proofErr w:type="spellStart"/>
      <w:r w:rsidRPr="005736C2">
        <w:t>organisation's</w:t>
      </w:r>
      <w:proofErr w:type="spellEnd"/>
      <w:r w:rsidRPr="005736C2">
        <w:t xml:space="preserve"> ability to achieve continuous adaptation. </w:t>
      </w:r>
    </w:p>
    <w:p w:rsidR="00B12622" w:rsidRPr="005736C2" w:rsidRDefault="00B12622" w:rsidP="00B12622">
      <w:pPr>
        <w:jc w:val="both"/>
        <w:rPr>
          <w:b/>
        </w:rPr>
      </w:pPr>
    </w:p>
    <w:p w:rsidR="00B12622" w:rsidRPr="005736C2" w:rsidRDefault="00B12622" w:rsidP="00B12622">
      <w:pPr>
        <w:jc w:val="both"/>
        <w:rPr>
          <w:b/>
        </w:rPr>
      </w:pPr>
      <w:r w:rsidRPr="005736C2">
        <w:rPr>
          <w:b/>
        </w:rPr>
        <w:t>Course Objectives:</w:t>
      </w:r>
    </w:p>
    <w:p w:rsidR="00B12622" w:rsidRPr="005736C2" w:rsidRDefault="00B12622" w:rsidP="00B12622">
      <w:pPr>
        <w:numPr>
          <w:ilvl w:val="0"/>
          <w:numId w:val="2"/>
        </w:numPr>
        <w:jc w:val="both"/>
      </w:pPr>
      <w:r w:rsidRPr="005736C2">
        <w:t xml:space="preserve">To examine the role of the renewal process in the management of </w:t>
      </w:r>
      <w:proofErr w:type="spellStart"/>
      <w:r w:rsidRPr="005736C2">
        <w:t>organisations</w:t>
      </w:r>
      <w:proofErr w:type="spellEnd"/>
      <w:r w:rsidRPr="005736C2">
        <w:t xml:space="preserve"> and managing change. </w:t>
      </w:r>
    </w:p>
    <w:p w:rsidR="00B12622" w:rsidRPr="005736C2" w:rsidRDefault="00B12622" w:rsidP="00B12622">
      <w:pPr>
        <w:numPr>
          <w:ilvl w:val="0"/>
          <w:numId w:val="2"/>
        </w:numPr>
        <w:jc w:val="both"/>
      </w:pPr>
      <w:r w:rsidRPr="005736C2">
        <w:t xml:space="preserve">To examine the ways in which </w:t>
      </w:r>
      <w:proofErr w:type="spellStart"/>
      <w:r w:rsidRPr="005736C2">
        <w:t>organisational</w:t>
      </w:r>
      <w:proofErr w:type="spellEnd"/>
      <w:r w:rsidRPr="005736C2">
        <w:t xml:space="preserve"> change can be sustained within the complexity of changing human and </w:t>
      </w:r>
      <w:proofErr w:type="spellStart"/>
      <w:r w:rsidRPr="005736C2">
        <w:t>organisational</w:t>
      </w:r>
      <w:proofErr w:type="spellEnd"/>
      <w:r w:rsidRPr="005736C2">
        <w:t xml:space="preserve"> systems. </w:t>
      </w:r>
    </w:p>
    <w:p w:rsidR="00B12622" w:rsidRPr="005736C2" w:rsidRDefault="00B12622" w:rsidP="00B12622">
      <w:pPr>
        <w:numPr>
          <w:ilvl w:val="0"/>
          <w:numId w:val="2"/>
        </w:numPr>
        <w:jc w:val="both"/>
        <w:rPr>
          <w:b/>
        </w:rPr>
      </w:pPr>
      <w:r w:rsidRPr="005736C2">
        <w:t>To learn tools, techniques, and practices necessary to develop a learning organization.</w:t>
      </w:r>
    </w:p>
    <w:p w:rsidR="00B12622" w:rsidRPr="005736C2" w:rsidRDefault="00B12622" w:rsidP="00B12622">
      <w:pPr>
        <w:ind w:left="360"/>
        <w:jc w:val="both"/>
        <w:rPr>
          <w:b/>
        </w:rPr>
      </w:pPr>
    </w:p>
    <w:p w:rsidR="00B12622" w:rsidRPr="005736C2" w:rsidRDefault="00B12622" w:rsidP="00B12622">
      <w:pPr>
        <w:jc w:val="both"/>
        <w:rPr>
          <w:b/>
        </w:rPr>
      </w:pPr>
      <w:r w:rsidRPr="005736C2">
        <w:rPr>
          <w:b/>
        </w:rPr>
        <w:t>Learning Outcomes:</w:t>
      </w:r>
    </w:p>
    <w:p w:rsidR="00B12622" w:rsidRPr="005736C2" w:rsidRDefault="00B12622" w:rsidP="00B12622">
      <w:pPr>
        <w:autoSpaceDE w:val="0"/>
        <w:autoSpaceDN w:val="0"/>
        <w:adjustRightInd w:val="0"/>
      </w:pPr>
      <w:r w:rsidRPr="005736C2">
        <w:t xml:space="preserve">Upon successful completion of this course the students should be able to: </w:t>
      </w:r>
    </w:p>
    <w:p w:rsidR="00B12622" w:rsidRPr="005736C2" w:rsidRDefault="00B12622" w:rsidP="00B12622">
      <w:pPr>
        <w:pStyle w:val="Default"/>
        <w:spacing w:before="120"/>
        <w:ind w:left="360" w:right="40"/>
        <w:jc w:val="both"/>
        <w:rPr>
          <w:rFonts w:ascii="Times New Roman" w:hAnsi="Times New Roman" w:cs="Times New Roman"/>
          <w:color w:val="auto"/>
        </w:rPr>
      </w:pPr>
      <w:r w:rsidRPr="005736C2">
        <w:rPr>
          <w:rFonts w:ascii="Times New Roman" w:hAnsi="Times New Roman" w:cs="Times New Roman"/>
          <w:color w:val="auto"/>
        </w:rPr>
        <w:t>1. Have a  working  understanding  of  the  prominent  theories,  models,  and  empirical  research  related  to  </w:t>
      </w:r>
      <w:proofErr w:type="spellStart"/>
      <w:r w:rsidRPr="005736C2">
        <w:rPr>
          <w:rFonts w:ascii="Times New Roman" w:hAnsi="Times New Roman" w:cs="Times New Roman"/>
          <w:color w:val="auto"/>
        </w:rPr>
        <w:t>organisational</w:t>
      </w:r>
      <w:proofErr w:type="spellEnd"/>
      <w:r w:rsidRPr="005736C2">
        <w:rPr>
          <w:rFonts w:ascii="Times New Roman" w:hAnsi="Times New Roman" w:cs="Times New Roman"/>
          <w:color w:val="auto"/>
        </w:rPr>
        <w:t xml:space="preserve">  change/transformation;  </w:t>
      </w:r>
    </w:p>
    <w:p w:rsidR="00B12622" w:rsidRPr="005736C2" w:rsidRDefault="00B12622" w:rsidP="00B12622">
      <w:pPr>
        <w:autoSpaceDE w:val="0"/>
        <w:autoSpaceDN w:val="0"/>
        <w:adjustRightInd w:val="0"/>
        <w:ind w:left="360"/>
      </w:pPr>
      <w:r w:rsidRPr="005736C2">
        <w:t xml:space="preserve">2. Take a critical perspective and draw lessons from the theory and practice of innovation and change. </w:t>
      </w:r>
    </w:p>
    <w:p w:rsidR="00B12622" w:rsidRPr="005736C2" w:rsidRDefault="00B12622" w:rsidP="00B12622">
      <w:pPr>
        <w:autoSpaceDE w:val="0"/>
        <w:autoSpaceDN w:val="0"/>
        <w:adjustRightInd w:val="0"/>
        <w:ind w:left="360"/>
      </w:pPr>
      <w:r w:rsidRPr="005736C2">
        <w:t xml:space="preserve">3. Explore the creative and innovative ways to influence the nature and processes of </w:t>
      </w:r>
      <w:proofErr w:type="spellStart"/>
      <w:r w:rsidRPr="005736C2">
        <w:t>organisational</w:t>
      </w:r>
      <w:proofErr w:type="spellEnd"/>
      <w:r w:rsidRPr="005736C2">
        <w:t xml:space="preserve"> change. </w:t>
      </w:r>
    </w:p>
    <w:p w:rsidR="00B12622" w:rsidRPr="005736C2" w:rsidRDefault="00B12622" w:rsidP="00B12622">
      <w:pPr>
        <w:autoSpaceDE w:val="0"/>
        <w:autoSpaceDN w:val="0"/>
        <w:adjustRightInd w:val="0"/>
        <w:ind w:left="360"/>
        <w:rPr>
          <w:b/>
        </w:rPr>
      </w:pPr>
      <w:r w:rsidRPr="005736C2">
        <w:t xml:space="preserve">4. </w:t>
      </w:r>
      <w:proofErr w:type="spellStart"/>
      <w:r w:rsidRPr="005736C2">
        <w:t>Analyse</w:t>
      </w:r>
      <w:proofErr w:type="spellEnd"/>
      <w:r w:rsidRPr="005736C2">
        <w:t xml:space="preserve"> the technological, administrative and process innovation as well as contemporary techniques and procedures used to initiate, plan and implement change. </w:t>
      </w:r>
      <w:r w:rsidRPr="005736C2">
        <w:br/>
        <w:t xml:space="preserve">5. Apply best practice and theory to support </w:t>
      </w:r>
      <w:proofErr w:type="spellStart"/>
      <w:r w:rsidRPr="005736C2">
        <w:t>organisational</w:t>
      </w:r>
      <w:proofErr w:type="spellEnd"/>
      <w:r w:rsidRPr="005736C2">
        <w:t xml:space="preserve"> learning and enable competitiveness</w:t>
      </w:r>
      <w:r w:rsidR="007620A2">
        <w:t>.</w:t>
      </w:r>
      <w:r w:rsidRPr="005736C2">
        <w:t xml:space="preserve"> </w:t>
      </w:r>
      <w:r w:rsidRPr="005736C2">
        <w:br/>
      </w:r>
    </w:p>
    <w:p w:rsidR="00B12622" w:rsidRPr="005736C2" w:rsidRDefault="00B12622" w:rsidP="00B12622">
      <w:pPr>
        <w:autoSpaceDE w:val="0"/>
        <w:autoSpaceDN w:val="0"/>
        <w:adjustRightInd w:val="0"/>
        <w:rPr>
          <w:b/>
        </w:rPr>
      </w:pPr>
      <w:r w:rsidRPr="005736C2">
        <w:rPr>
          <w:b/>
        </w:rPr>
        <w:t>Intellectual, practical and transferable skills</w:t>
      </w:r>
    </w:p>
    <w:p w:rsidR="00B12622" w:rsidRPr="005736C2" w:rsidRDefault="00B12622" w:rsidP="00B12622">
      <w:pPr>
        <w:numPr>
          <w:ilvl w:val="0"/>
          <w:numId w:val="1"/>
        </w:numPr>
        <w:jc w:val="both"/>
      </w:pPr>
      <w:r w:rsidRPr="005736C2">
        <w:t>Problem solving skills</w:t>
      </w:r>
    </w:p>
    <w:p w:rsidR="00B12622" w:rsidRPr="005736C2" w:rsidRDefault="00B12622" w:rsidP="00B12622">
      <w:pPr>
        <w:numPr>
          <w:ilvl w:val="0"/>
          <w:numId w:val="1"/>
        </w:numPr>
        <w:jc w:val="both"/>
      </w:pPr>
      <w:r w:rsidRPr="005736C2">
        <w:t>Analytical</w:t>
      </w:r>
    </w:p>
    <w:p w:rsidR="00B12622" w:rsidRPr="005736C2" w:rsidRDefault="00B12622" w:rsidP="00B12622">
      <w:pPr>
        <w:numPr>
          <w:ilvl w:val="0"/>
          <w:numId w:val="1"/>
        </w:numPr>
        <w:jc w:val="both"/>
      </w:pPr>
      <w:r w:rsidRPr="005736C2">
        <w:t>Team work</w:t>
      </w:r>
    </w:p>
    <w:p w:rsidR="00B12622" w:rsidRPr="005736C2" w:rsidRDefault="00B12622" w:rsidP="00B12622">
      <w:pPr>
        <w:numPr>
          <w:ilvl w:val="0"/>
          <w:numId w:val="1"/>
        </w:numPr>
        <w:jc w:val="both"/>
      </w:pPr>
      <w:r w:rsidRPr="005736C2">
        <w:t>Communication</w:t>
      </w:r>
    </w:p>
    <w:p w:rsidR="00B12622" w:rsidRPr="005736C2" w:rsidRDefault="00B12622" w:rsidP="00B12622">
      <w:pPr>
        <w:jc w:val="both"/>
        <w:rPr>
          <w:b/>
        </w:rPr>
      </w:pPr>
    </w:p>
    <w:p w:rsidR="00B12622" w:rsidRPr="005736C2" w:rsidRDefault="00B12622" w:rsidP="00B12622">
      <w:pPr>
        <w:jc w:val="both"/>
        <w:rPr>
          <w:b/>
        </w:rPr>
      </w:pPr>
      <w:r w:rsidRPr="005736C2">
        <w:rPr>
          <w:b/>
        </w:rPr>
        <w:t>Teaching and learning Pattern</w:t>
      </w:r>
    </w:p>
    <w:p w:rsidR="00B12622" w:rsidRPr="005736C2" w:rsidRDefault="00B12622" w:rsidP="00B12622">
      <w:pPr>
        <w:autoSpaceDE w:val="0"/>
        <w:autoSpaceDN w:val="0"/>
        <w:adjustRightInd w:val="0"/>
      </w:pPr>
      <w:r w:rsidRPr="005736C2">
        <w:t xml:space="preserve">The method shall comprise lectures, collaborative work, independent study, and problem-based learning. </w:t>
      </w:r>
    </w:p>
    <w:p w:rsidR="00B12622" w:rsidRPr="005736C2" w:rsidRDefault="00B12622" w:rsidP="00B12622">
      <w:pPr>
        <w:jc w:val="both"/>
      </w:pPr>
    </w:p>
    <w:p w:rsidR="00B12622" w:rsidRPr="005736C2" w:rsidRDefault="00B12622" w:rsidP="00B12622">
      <w:pPr>
        <w:jc w:val="both"/>
      </w:pPr>
      <w:r w:rsidRPr="005736C2">
        <w:rPr>
          <w:b/>
        </w:rPr>
        <w:t xml:space="preserve">Indicative content: </w:t>
      </w:r>
    </w:p>
    <w:p w:rsidR="00B12622" w:rsidRPr="005736C2" w:rsidRDefault="00B12622" w:rsidP="00B12622">
      <w:pPr>
        <w:jc w:val="both"/>
      </w:pPr>
      <w:r w:rsidRPr="005736C2">
        <w:t xml:space="preserve">Key topics include: change management theory; Sources of Change (external &amp; internal); Types of Change (Planned and Emergent); the Change Process (Communication, Vision); </w:t>
      </w:r>
      <w:r w:rsidRPr="005736C2">
        <w:lastRenderedPageBreak/>
        <w:t xml:space="preserve">Resistance to change Power, Politics and Change; organisational Culture and Change; Leading Change and Change Agents; features of </w:t>
      </w:r>
      <w:proofErr w:type="spellStart"/>
      <w:r w:rsidRPr="005736C2">
        <w:t>organisation</w:t>
      </w:r>
      <w:proofErr w:type="spellEnd"/>
      <w:r w:rsidRPr="005736C2">
        <w:t xml:space="preserve"> design; types and phases of change; nonlinear dynamics; managerial and </w:t>
      </w:r>
      <w:proofErr w:type="spellStart"/>
      <w:r w:rsidRPr="005736C2">
        <w:t>organisational</w:t>
      </w:r>
      <w:proofErr w:type="spellEnd"/>
      <w:r w:rsidRPr="005736C2">
        <w:t xml:space="preserve"> cognition; interpretative systems and sense-making; techniques for process change, (</w:t>
      </w:r>
      <w:proofErr w:type="spellStart"/>
      <w:r w:rsidRPr="005736C2">
        <w:t>eg</w:t>
      </w:r>
      <w:proofErr w:type="spellEnd"/>
      <w:r w:rsidRPr="005736C2">
        <w:t xml:space="preserve">. TQM, business processes); the role of entrepreneurship, creativity, leadership and </w:t>
      </w:r>
      <w:proofErr w:type="spellStart"/>
      <w:r w:rsidRPr="005736C2">
        <w:t>managerialism</w:t>
      </w:r>
      <w:proofErr w:type="spellEnd"/>
      <w:r w:rsidRPr="005736C2">
        <w:t>; organizational learning, development and change</w:t>
      </w:r>
    </w:p>
    <w:p w:rsidR="00B12622" w:rsidRPr="005736C2" w:rsidRDefault="00B12622" w:rsidP="00B12622">
      <w:pPr>
        <w:jc w:val="both"/>
        <w:rPr>
          <w:b/>
        </w:rPr>
      </w:pPr>
    </w:p>
    <w:p w:rsidR="00B12622" w:rsidRPr="005736C2" w:rsidRDefault="00B12622" w:rsidP="00B12622">
      <w:pPr>
        <w:jc w:val="both"/>
        <w:rPr>
          <w:b/>
        </w:rPr>
      </w:pPr>
      <w:r w:rsidRPr="005736C2">
        <w:rPr>
          <w:b/>
        </w:rPr>
        <w:t>Assessment Method</w:t>
      </w:r>
    </w:p>
    <w:p w:rsidR="00B12622" w:rsidRPr="005736C2" w:rsidRDefault="00B12622" w:rsidP="00B12622">
      <w:pPr>
        <w:jc w:val="both"/>
      </w:pPr>
      <w:r w:rsidRPr="005736C2">
        <w:t xml:space="preserve">The assessment method is structured to include coursework and final examination. Coursework consists of assignments, presentations and tests. </w:t>
      </w:r>
    </w:p>
    <w:p w:rsidR="00B12622" w:rsidRPr="005736C2" w:rsidRDefault="00B12622" w:rsidP="00B12622">
      <w:pPr>
        <w:jc w:val="both"/>
      </w:pPr>
      <w:r w:rsidRPr="005736C2">
        <w:t>Course work assessment</w:t>
      </w:r>
      <w:r w:rsidRPr="005736C2">
        <w:tab/>
      </w:r>
      <w:r w:rsidRPr="005736C2">
        <w:tab/>
        <w:t>30%</w:t>
      </w:r>
    </w:p>
    <w:p w:rsidR="00B12622" w:rsidRPr="005736C2" w:rsidRDefault="00B12622" w:rsidP="00B12622">
      <w:pPr>
        <w:jc w:val="both"/>
        <w:rPr>
          <w:u w:val="single"/>
        </w:rPr>
      </w:pPr>
      <w:r w:rsidRPr="005736C2">
        <w:t>Final Examination</w:t>
      </w:r>
      <w:r w:rsidRPr="005736C2">
        <w:tab/>
      </w:r>
      <w:r w:rsidRPr="005736C2">
        <w:tab/>
      </w:r>
      <w:r w:rsidRPr="005736C2">
        <w:tab/>
      </w:r>
      <w:r w:rsidRPr="005736C2">
        <w:rPr>
          <w:u w:val="single"/>
        </w:rPr>
        <w:t>70%</w:t>
      </w:r>
    </w:p>
    <w:p w:rsidR="00B12622" w:rsidRPr="005736C2" w:rsidRDefault="00B12622" w:rsidP="00B12622">
      <w:pPr>
        <w:jc w:val="both"/>
      </w:pPr>
      <w:r w:rsidRPr="005736C2">
        <w:tab/>
      </w:r>
      <w:r w:rsidRPr="005736C2">
        <w:tab/>
      </w:r>
      <w:r w:rsidRPr="005736C2">
        <w:tab/>
      </w:r>
      <w:r w:rsidRPr="005736C2">
        <w:tab/>
      </w:r>
      <w:r w:rsidRPr="005736C2">
        <w:tab/>
        <w:t>100%</w:t>
      </w:r>
    </w:p>
    <w:p w:rsidR="00B12622" w:rsidRPr="005736C2" w:rsidRDefault="00B12622" w:rsidP="00B12622">
      <w:pPr>
        <w:jc w:val="both"/>
      </w:pPr>
      <w:r w:rsidRPr="005736C2">
        <w:t xml:space="preserve">The minimum mark required to pass is 50%, this includes course work and final examination. Each course in the </w:t>
      </w:r>
      <w:proofErr w:type="spellStart"/>
      <w:r w:rsidRPr="005736C2">
        <w:t>programme</w:t>
      </w:r>
      <w:proofErr w:type="spellEnd"/>
      <w:r w:rsidRPr="005736C2">
        <w:t xml:space="preserve"> is allowed a maximum of three hours for final examination</w:t>
      </w:r>
    </w:p>
    <w:p w:rsidR="00B12622" w:rsidRPr="005736C2" w:rsidRDefault="00B12622" w:rsidP="00B12622">
      <w:pPr>
        <w:tabs>
          <w:tab w:val="left" w:pos="1399"/>
        </w:tabs>
        <w:jc w:val="both"/>
        <w:rPr>
          <w:b/>
        </w:rPr>
      </w:pPr>
    </w:p>
    <w:p w:rsidR="00B12622" w:rsidRPr="005736C2" w:rsidRDefault="00B12622" w:rsidP="00B12622">
      <w:pPr>
        <w:jc w:val="both"/>
        <w:rPr>
          <w:b/>
        </w:rPr>
      </w:pPr>
      <w:r w:rsidRPr="005736C2">
        <w:rPr>
          <w:b/>
        </w:rPr>
        <w:t>Indicatives Sources</w:t>
      </w:r>
    </w:p>
    <w:p w:rsidR="00B12622" w:rsidRPr="005736C2" w:rsidRDefault="00B12622" w:rsidP="00B12622">
      <w:pPr>
        <w:numPr>
          <w:ilvl w:val="0"/>
          <w:numId w:val="3"/>
        </w:numPr>
        <w:ind w:hanging="720"/>
        <w:jc w:val="both"/>
      </w:pPr>
      <w:r w:rsidRPr="005736C2">
        <w:rPr>
          <w:rStyle w:val="ptbrand4"/>
        </w:rPr>
        <w:t>Center for Chemical Process Safety (CCPS)</w:t>
      </w:r>
      <w:r w:rsidRPr="005736C2">
        <w:rPr>
          <w:rStyle w:val="binding4"/>
        </w:rPr>
        <w:t xml:space="preserve"> (2008)</w:t>
      </w:r>
      <w:hyperlink r:id="rId5" w:history="1">
        <w:r w:rsidRPr="005736C2">
          <w:t>Guidelines for the Management of Change for Process Safety</w:t>
        </w:r>
      </w:hyperlink>
    </w:p>
    <w:p w:rsidR="00B12622" w:rsidRPr="005736C2" w:rsidRDefault="00B12622" w:rsidP="00B12622">
      <w:pPr>
        <w:numPr>
          <w:ilvl w:val="0"/>
          <w:numId w:val="3"/>
        </w:numPr>
        <w:ind w:hanging="720"/>
        <w:jc w:val="both"/>
      </w:pPr>
      <w:r w:rsidRPr="005736C2">
        <w:t xml:space="preserve">Jeffrey Hiatt and Timothy </w:t>
      </w:r>
      <w:proofErr w:type="spellStart"/>
      <w:r w:rsidRPr="005736C2">
        <w:t>Creasey</w:t>
      </w:r>
      <w:proofErr w:type="spellEnd"/>
      <w:r w:rsidRPr="005736C2">
        <w:t xml:space="preserve"> (2003)</w:t>
      </w:r>
      <w:hyperlink r:id="rId6" w:history="1">
        <w:r w:rsidRPr="005736C2">
          <w:rPr>
            <w:bCs/>
          </w:rPr>
          <w:t>Change Management</w:t>
        </w:r>
      </w:hyperlink>
    </w:p>
    <w:p w:rsidR="00B12622" w:rsidRPr="005736C2" w:rsidRDefault="00B12622" w:rsidP="00B12622">
      <w:pPr>
        <w:numPr>
          <w:ilvl w:val="0"/>
          <w:numId w:val="3"/>
        </w:numPr>
        <w:ind w:hanging="720"/>
        <w:jc w:val="both"/>
      </w:pPr>
      <w:r w:rsidRPr="005736C2">
        <w:t>Kate Nelson and Stacy Aaron (2005)</w:t>
      </w:r>
      <w:hyperlink r:id="rId7" w:history="1">
        <w:r w:rsidRPr="005736C2">
          <w:rPr>
            <w:bCs/>
          </w:rPr>
          <w:t>The Change Management Pocket Guide</w:t>
        </w:r>
      </w:hyperlink>
    </w:p>
    <w:p w:rsidR="00B12622" w:rsidRPr="005736C2" w:rsidRDefault="00B12622" w:rsidP="00B12622">
      <w:pPr>
        <w:numPr>
          <w:ilvl w:val="0"/>
          <w:numId w:val="3"/>
        </w:numPr>
        <w:ind w:hanging="720"/>
        <w:jc w:val="both"/>
      </w:pPr>
      <w:r w:rsidRPr="005736C2">
        <w:t>Esther Cameron and Mike Green (2009)</w:t>
      </w:r>
      <w:hyperlink r:id="rId8" w:history="1">
        <w:r w:rsidRPr="005736C2">
          <w:rPr>
            <w:bCs/>
          </w:rPr>
          <w:t>Making Sense of Change Management: A Complete Guide to the Models, Tools and Techniques of Organizational Change</w:t>
        </w:r>
      </w:hyperlink>
    </w:p>
    <w:p w:rsidR="00B12622" w:rsidRPr="005736C2" w:rsidRDefault="00B12622" w:rsidP="00B12622">
      <w:pPr>
        <w:jc w:val="both"/>
        <w:rPr>
          <w:bCs/>
        </w:rPr>
      </w:pPr>
      <w:r w:rsidRPr="005736C2">
        <w:t xml:space="preserve">Robert C. </w:t>
      </w:r>
      <w:proofErr w:type="spellStart"/>
      <w:r w:rsidRPr="005736C2">
        <w:t>Benfari</w:t>
      </w:r>
      <w:proofErr w:type="spellEnd"/>
      <w:r w:rsidRPr="005736C2">
        <w:t xml:space="preserve"> (1999</w:t>
      </w:r>
      <w:proofErr w:type="gramStart"/>
      <w:r w:rsidRPr="005736C2">
        <w:t>)</w:t>
      </w:r>
      <w:proofErr w:type="gramEnd"/>
      <w:hyperlink r:id="rId9" w:history="1">
        <w:r w:rsidRPr="005736C2">
          <w:rPr>
            <w:bCs/>
          </w:rPr>
          <w:t>Understanding and Changing Your Management Style (</w:t>
        </w:r>
        <w:proofErr w:type="spellStart"/>
        <w:r w:rsidRPr="005736C2">
          <w:rPr>
            <w:bCs/>
          </w:rPr>
          <w:t>Jossey</w:t>
        </w:r>
        <w:proofErr w:type="spellEnd"/>
        <w:r w:rsidRPr="005736C2">
          <w:rPr>
            <w:bCs/>
          </w:rPr>
          <w:t>-Bass Business/Management Series)</w:t>
        </w:r>
      </w:hyperlink>
    </w:p>
    <w:p w:rsidR="001C3396" w:rsidRDefault="001C3396">
      <w:bookmarkStart w:id="1" w:name="_GoBack"/>
      <w:bookmarkEnd w:id="1"/>
    </w:p>
    <w:sectPr w:rsidR="001C3396" w:rsidSect="00AF3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F6322"/>
    <w:multiLevelType w:val="hybridMultilevel"/>
    <w:tmpl w:val="099CE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BD30F9"/>
    <w:multiLevelType w:val="hybridMultilevel"/>
    <w:tmpl w:val="0CEAD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662327"/>
    <w:multiLevelType w:val="hybridMultilevel"/>
    <w:tmpl w:val="A63E0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B12622"/>
    <w:rsid w:val="00050608"/>
    <w:rsid w:val="001668D8"/>
    <w:rsid w:val="001C3396"/>
    <w:rsid w:val="001F160E"/>
    <w:rsid w:val="00563212"/>
    <w:rsid w:val="00745640"/>
    <w:rsid w:val="007620A2"/>
    <w:rsid w:val="008F7FC7"/>
    <w:rsid w:val="00970755"/>
    <w:rsid w:val="00AF3957"/>
    <w:rsid w:val="00B12622"/>
    <w:rsid w:val="00BB434B"/>
    <w:rsid w:val="00BF0D71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12622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2622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efault">
    <w:name w:val="Default"/>
    <w:rsid w:val="00B126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ptbrand4">
    <w:name w:val="ptbrand4"/>
    <w:basedOn w:val="DefaultParagraphFont"/>
    <w:rsid w:val="00B12622"/>
    <w:rPr>
      <w:sz w:val="20"/>
      <w:szCs w:val="20"/>
    </w:rPr>
  </w:style>
  <w:style w:type="character" w:customStyle="1" w:styleId="binding4">
    <w:name w:val="binding4"/>
    <w:basedOn w:val="DefaultParagraphFont"/>
    <w:rsid w:val="00B1262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12622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2622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efault">
    <w:name w:val="Default"/>
    <w:rsid w:val="00B126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ptbrand4">
    <w:name w:val="ptbrand4"/>
    <w:basedOn w:val="DefaultParagraphFont"/>
    <w:rsid w:val="00B12622"/>
    <w:rPr>
      <w:sz w:val="20"/>
      <w:szCs w:val="20"/>
    </w:rPr>
  </w:style>
  <w:style w:type="character" w:customStyle="1" w:styleId="binding4">
    <w:name w:val="binding4"/>
    <w:basedOn w:val="DefaultParagraphFont"/>
    <w:rsid w:val="00B1262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Making-Sense-Change-Management-Organizational/dp/0749453109/ref=sr_1_5?ie=UTF8&amp;s=books&amp;qid=1248611406&amp;sr=1-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m/Change-Management-Pocket-Guide/dp/0976735903/ref=sr_1_3?ie=UTF8&amp;s=books&amp;qid=1248611406&amp;sr=1-3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Change-Management-Jeffrey-Hiatt/dp/1930885180/ref=sr_1_2?ie=UTF8&amp;s=books&amp;qid=1248611406&amp;sr=1-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mazon.com/Guidelines-Management-Change-Process-Safety/dp/0470043091/ref=sr_1_1?ie=UTF8&amp;s=books&amp;qid=1248611406&amp;sr=1-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Understanding-Changing-Management-Jossey-Bass-Business/dp/0787908584/ref=sr_1_7?ie=UTF8&amp;s=books&amp;qid=1248611406&amp;sr=1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660</Words>
  <Characters>3762</Characters>
  <Application>Microsoft Office Word</Application>
  <DocSecurity>0</DocSecurity>
  <Lines>31</Lines>
  <Paragraphs>8</Paragraphs>
  <ScaleCrop>false</ScaleCrop>
  <Company>Microsoft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2014-05-15T11:15:00Z</dcterms:created>
  <dcterms:modified xsi:type="dcterms:W3CDTF">2014-05-15T11:15:00Z</dcterms:modified>
</cp:coreProperties>
</file>