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CD" w:rsidRPr="00F8269A" w:rsidRDefault="006158CD" w:rsidP="006158CD">
      <w:pPr>
        <w:pStyle w:val="Heading2"/>
        <w:rPr>
          <w:i/>
        </w:rPr>
      </w:pPr>
      <w:bookmarkStart w:id="0" w:name="_Toc269722198"/>
      <w:r w:rsidRPr="00F8269A">
        <w:t>COX 4133</w:t>
      </w:r>
      <w:r w:rsidRPr="00F8269A">
        <w:tab/>
        <w:t>MARKETING COMMUNICATION</w:t>
      </w:r>
      <w:bookmarkEnd w:id="0"/>
      <w:r w:rsidRPr="00F8269A">
        <w:t xml:space="preserve"> (3 CU)</w:t>
      </w:r>
    </w:p>
    <w:p w:rsidR="006158CD" w:rsidRPr="00F8269A" w:rsidRDefault="00986DFB" w:rsidP="006158CD">
      <w:pPr>
        <w:pStyle w:val="a1"/>
        <w:tabs>
          <w:tab w:val="left" w:pos="4581"/>
        </w:tabs>
        <w:spacing w:before="0" w:beforeAutospacing="0" w:after="0" w:afterAutospacing="0"/>
        <w:jc w:val="both"/>
        <w:rPr>
          <w:b/>
          <w:color w:val="auto"/>
        </w:rPr>
      </w:pPr>
      <w:r>
        <w:rPr>
          <w:b/>
          <w:color w:val="auto"/>
        </w:rPr>
        <w:t>Course Description:</w:t>
      </w:r>
    </w:p>
    <w:p w:rsidR="006158CD" w:rsidRPr="00F8269A" w:rsidRDefault="006158CD" w:rsidP="006158CD">
      <w:pPr>
        <w:pStyle w:val="a1"/>
        <w:spacing w:before="0" w:beforeAutospacing="0" w:after="0" w:afterAutospacing="0"/>
        <w:jc w:val="both"/>
        <w:rPr>
          <w:color w:val="auto"/>
        </w:rPr>
      </w:pPr>
      <w:r w:rsidRPr="00F8269A">
        <w:rPr>
          <w:color w:val="auto"/>
        </w:rPr>
        <w:t xml:space="preserve">This course is designed to provide an insight to all aspects of marketing communication, including strategies for communication, processes of exchange, communication theory, marketing communication mix, understanding how customers process information, ethics in marketing communication, internal marketing communications, communication financial resources, environmental influence on marketing communication, marketing communication across borders, It provides an understanding of the theories inter-organizational relationships, the communication industry, marketing communication strategies and planning,, and a practical application in the context of the marketing communication cycle processes of research, planning, organization, implementation and control. </w:t>
      </w:r>
    </w:p>
    <w:p w:rsidR="006158CD" w:rsidRPr="00F8269A" w:rsidRDefault="006158CD" w:rsidP="006158CD">
      <w:pPr>
        <w:pStyle w:val="a1"/>
        <w:spacing w:before="0" w:beforeAutospacing="0" w:after="0" w:afterAutospacing="0"/>
        <w:jc w:val="both"/>
        <w:rPr>
          <w:b/>
          <w:color w:val="auto"/>
        </w:rPr>
      </w:pPr>
    </w:p>
    <w:p w:rsidR="006158CD" w:rsidRPr="00F8269A" w:rsidRDefault="006158CD" w:rsidP="006158CD">
      <w:pPr>
        <w:pStyle w:val="a1"/>
        <w:spacing w:before="0" w:beforeAutospacing="0" w:after="0" w:afterAutospacing="0"/>
        <w:jc w:val="both"/>
        <w:rPr>
          <w:b/>
          <w:color w:val="auto"/>
        </w:rPr>
      </w:pPr>
      <w:r w:rsidRPr="00F8269A">
        <w:rPr>
          <w:b/>
          <w:color w:val="auto"/>
        </w:rPr>
        <w:t>Course objectives</w:t>
      </w:r>
      <w:r w:rsidR="00986DFB">
        <w:rPr>
          <w:b/>
          <w:color w:val="auto"/>
        </w:rPr>
        <w:t>:</w:t>
      </w:r>
    </w:p>
    <w:p w:rsidR="006158CD" w:rsidRPr="00F8269A" w:rsidRDefault="006158CD" w:rsidP="006158CD">
      <w:pPr>
        <w:numPr>
          <w:ilvl w:val="0"/>
          <w:numId w:val="1"/>
        </w:numPr>
      </w:pPr>
      <w:r w:rsidRPr="00F8269A">
        <w:t>To appreciate the complexity of the environmental context and its impact on  marketing communication</w:t>
      </w:r>
    </w:p>
    <w:p w:rsidR="006158CD" w:rsidRPr="00F8269A" w:rsidRDefault="006158CD" w:rsidP="006158CD">
      <w:pPr>
        <w:numPr>
          <w:ilvl w:val="0"/>
          <w:numId w:val="1"/>
        </w:numPr>
      </w:pPr>
      <w:r w:rsidRPr="00F8269A">
        <w:t>To introduce the fundamental issues concerning net works</w:t>
      </w:r>
    </w:p>
    <w:p w:rsidR="006158CD" w:rsidRPr="00F8269A" w:rsidRDefault="006158CD" w:rsidP="006158CD">
      <w:pPr>
        <w:numPr>
          <w:ilvl w:val="0"/>
          <w:numId w:val="1"/>
        </w:numPr>
      </w:pPr>
      <w:r w:rsidRPr="00F8269A">
        <w:t>To provide an introduction to the communication industry (media, clients, agencies and support organization)</w:t>
      </w:r>
    </w:p>
    <w:p w:rsidR="006158CD" w:rsidRPr="00F8269A" w:rsidRDefault="006158CD" w:rsidP="006158CD">
      <w:pPr>
        <w:numPr>
          <w:ilvl w:val="0"/>
          <w:numId w:val="1"/>
        </w:numPr>
      </w:pPr>
      <w:r w:rsidRPr="00F8269A">
        <w:t>To introduce and explore the nature of branding</w:t>
      </w:r>
    </w:p>
    <w:p w:rsidR="006158CD" w:rsidRPr="00F8269A" w:rsidRDefault="006158CD" w:rsidP="006158CD">
      <w:pPr>
        <w:pStyle w:val="a1"/>
        <w:numPr>
          <w:ilvl w:val="0"/>
          <w:numId w:val="1"/>
        </w:numPr>
        <w:tabs>
          <w:tab w:val="left" w:pos="4740"/>
        </w:tabs>
        <w:spacing w:before="0" w:beforeAutospacing="0" w:after="0" w:afterAutospacing="0"/>
        <w:jc w:val="both"/>
        <w:rPr>
          <w:color w:val="auto"/>
        </w:rPr>
      </w:pPr>
      <w:r w:rsidRPr="00F8269A">
        <w:rPr>
          <w:color w:val="auto"/>
        </w:rPr>
        <w:t>To consider the develop</w:t>
      </w:r>
      <w:r w:rsidR="00986DFB">
        <w:rPr>
          <w:color w:val="auto"/>
        </w:rPr>
        <w:t xml:space="preserve">ment of communication across </w:t>
      </w:r>
      <w:proofErr w:type="spellStart"/>
      <w:r w:rsidR="00986DFB">
        <w:rPr>
          <w:color w:val="auto"/>
        </w:rPr>
        <w:t>boa</w:t>
      </w:r>
      <w:r w:rsidRPr="00F8269A">
        <w:rPr>
          <w:color w:val="auto"/>
        </w:rPr>
        <w:t>rders</w:t>
      </w:r>
      <w:proofErr w:type="spellEnd"/>
      <w:r w:rsidRPr="00F8269A">
        <w:rPr>
          <w:color w:val="auto"/>
        </w:rPr>
        <w:t>.</w:t>
      </w:r>
    </w:p>
    <w:p w:rsidR="006158CD" w:rsidRPr="00F8269A" w:rsidRDefault="006158CD" w:rsidP="006158CD">
      <w:pPr>
        <w:pStyle w:val="a1"/>
        <w:tabs>
          <w:tab w:val="left" w:pos="4740"/>
        </w:tabs>
        <w:spacing w:before="0" w:beforeAutospacing="0" w:after="0" w:afterAutospacing="0"/>
        <w:jc w:val="both"/>
        <w:rPr>
          <w:color w:val="auto"/>
        </w:rPr>
      </w:pPr>
    </w:p>
    <w:p w:rsidR="006158CD" w:rsidRPr="00F8269A" w:rsidRDefault="006158CD" w:rsidP="006158CD">
      <w:pPr>
        <w:pStyle w:val="a1"/>
        <w:tabs>
          <w:tab w:val="left" w:pos="4740"/>
        </w:tabs>
        <w:spacing w:before="0" w:beforeAutospacing="0" w:after="0" w:afterAutospacing="0"/>
        <w:jc w:val="both"/>
        <w:rPr>
          <w:rStyle w:val="Strong"/>
          <w:b w:val="0"/>
          <w:bCs w:val="0"/>
          <w:color w:val="auto"/>
        </w:rPr>
      </w:pPr>
      <w:r w:rsidRPr="00F8269A">
        <w:rPr>
          <w:b/>
          <w:color w:val="auto"/>
        </w:rPr>
        <w:t>Learning Outcomes</w:t>
      </w:r>
      <w:r w:rsidR="00986DFB">
        <w:rPr>
          <w:b/>
          <w:color w:val="auto"/>
        </w:rPr>
        <w:t>:</w:t>
      </w:r>
    </w:p>
    <w:p w:rsidR="006158CD" w:rsidRPr="00F8269A" w:rsidRDefault="006158CD" w:rsidP="006158CD">
      <w:pPr>
        <w:numPr>
          <w:ilvl w:val="0"/>
          <w:numId w:val="1"/>
        </w:numPr>
        <w:spacing w:before="100" w:beforeAutospacing="1" w:after="100" w:afterAutospacing="1"/>
      </w:pPr>
      <w:r w:rsidRPr="00F8269A">
        <w:t xml:space="preserve">Critically evaluate marketing communications concepts and theory. </w:t>
      </w:r>
    </w:p>
    <w:p w:rsidR="006158CD" w:rsidRPr="00F8269A" w:rsidRDefault="006158CD" w:rsidP="006158CD">
      <w:pPr>
        <w:numPr>
          <w:ilvl w:val="0"/>
          <w:numId w:val="1"/>
        </w:numPr>
        <w:spacing w:before="100" w:beforeAutospacing="1" w:after="100" w:afterAutospacing="1"/>
      </w:pPr>
      <w:r w:rsidRPr="00F8269A">
        <w:t>Identify and evaluate a range of marketing communications activities.</w:t>
      </w:r>
    </w:p>
    <w:p w:rsidR="006158CD" w:rsidRPr="00F8269A" w:rsidRDefault="006158CD" w:rsidP="006158CD">
      <w:pPr>
        <w:numPr>
          <w:ilvl w:val="0"/>
          <w:numId w:val="1"/>
        </w:numPr>
        <w:spacing w:before="100" w:beforeAutospacing="1" w:after="100" w:afterAutospacing="1"/>
      </w:pPr>
      <w:r w:rsidRPr="00F8269A">
        <w:t xml:space="preserve">Outline key components, features and processes of marketing promotional plans. </w:t>
      </w:r>
    </w:p>
    <w:p w:rsidR="006158CD" w:rsidRPr="00F8269A" w:rsidRDefault="006158CD" w:rsidP="006158CD">
      <w:pPr>
        <w:jc w:val="both"/>
        <w:rPr>
          <w:b/>
          <w:lang w:val="en-GB"/>
        </w:rPr>
      </w:pPr>
      <w:r w:rsidRPr="00F8269A">
        <w:rPr>
          <w:b/>
          <w:lang w:val="en-GB"/>
        </w:rPr>
        <w:t>Intellectual, Practical and Transferable Skills</w:t>
      </w:r>
    </w:p>
    <w:p w:rsidR="006158CD" w:rsidRPr="00F8269A" w:rsidRDefault="006158CD" w:rsidP="006158CD">
      <w:pPr>
        <w:jc w:val="both"/>
        <w:rPr>
          <w:lang w:val="en-GB"/>
        </w:rPr>
      </w:pPr>
      <w:r w:rsidRPr="00F8269A">
        <w:rPr>
          <w:lang w:val="en-GB"/>
        </w:rPr>
        <w:t>Problem solving, analytical skills, team work and communications skills, practical</w:t>
      </w:r>
    </w:p>
    <w:p w:rsidR="006158CD" w:rsidRPr="00F8269A" w:rsidRDefault="006158CD" w:rsidP="006158CD">
      <w:pPr>
        <w:jc w:val="both"/>
        <w:rPr>
          <w:b/>
          <w:lang w:val="en-GB"/>
        </w:rPr>
      </w:pPr>
    </w:p>
    <w:p w:rsidR="006158CD" w:rsidRPr="00F8269A" w:rsidRDefault="006158CD" w:rsidP="006158CD">
      <w:pPr>
        <w:jc w:val="both"/>
        <w:rPr>
          <w:b/>
          <w:lang w:val="en-GB"/>
        </w:rPr>
      </w:pPr>
      <w:r w:rsidRPr="00F8269A">
        <w:rPr>
          <w:b/>
          <w:lang w:val="en-GB"/>
        </w:rPr>
        <w:t>Teaching and Learning Pattern</w:t>
      </w:r>
    </w:p>
    <w:p w:rsidR="006158CD" w:rsidRPr="00F8269A" w:rsidRDefault="006158CD" w:rsidP="006158CD">
      <w:pPr>
        <w:pStyle w:val="a1"/>
        <w:spacing w:before="0" w:beforeAutospacing="0" w:after="0" w:afterAutospacing="0"/>
        <w:jc w:val="both"/>
        <w:rPr>
          <w:color w:val="auto"/>
        </w:rPr>
      </w:pPr>
      <w:r w:rsidRPr="00F8269A">
        <w:rPr>
          <w:color w:val="auto"/>
        </w:rPr>
        <w:t>Lectures, cases, exercises and course work. All of these are oriented to develop the analytical capacity of the students. Much attention is paid to the development of practical skills and knowledge. Cases will develop students’ problem solving skills as well as their ability to work in a team.</w:t>
      </w:r>
    </w:p>
    <w:p w:rsidR="006158CD" w:rsidRPr="00F8269A" w:rsidRDefault="006158CD" w:rsidP="006158CD">
      <w:pPr>
        <w:jc w:val="both"/>
      </w:pPr>
    </w:p>
    <w:p w:rsidR="006158CD" w:rsidRPr="00F8269A" w:rsidRDefault="006158CD" w:rsidP="006158CD">
      <w:pPr>
        <w:rPr>
          <w:b/>
        </w:rPr>
      </w:pPr>
      <w:r w:rsidRPr="00F8269A">
        <w:rPr>
          <w:b/>
        </w:rPr>
        <w:t>Course content will include:</w:t>
      </w:r>
    </w:p>
    <w:p w:rsidR="006158CD" w:rsidRPr="00F8269A" w:rsidRDefault="006158CD" w:rsidP="006158CD">
      <w:pPr>
        <w:jc w:val="both"/>
      </w:pPr>
      <w:r w:rsidRPr="00F8269A">
        <w:t>The communication theory, marketing communication mix, understanding how customers process information, customer decision marking, purpose and audience, ethics in marketing communication, internal marketing communications, communication financial resources, environmental influence on marketing communication, stakeholders supply chain and inter-organizational relationships, the communication industry, marketing communication strategies and planning, promotional objectives and positioning, branding and the role of communication, marketing communication across borders, advertising messages and creative approach sales promotion techniques  and sponsorship.</w:t>
      </w:r>
    </w:p>
    <w:p w:rsidR="006158CD" w:rsidRPr="00F8269A" w:rsidRDefault="006158CD" w:rsidP="006158CD"/>
    <w:p w:rsidR="006158CD" w:rsidRPr="00F8269A" w:rsidRDefault="006158CD" w:rsidP="006158CD">
      <w:pPr>
        <w:jc w:val="both"/>
        <w:rPr>
          <w:b/>
          <w:lang w:val="en-GB"/>
        </w:rPr>
      </w:pPr>
      <w:r w:rsidRPr="00F8269A">
        <w:rPr>
          <w:b/>
          <w:lang w:val="en-GB"/>
        </w:rPr>
        <w:lastRenderedPageBreak/>
        <w:t>Assessment Method</w:t>
      </w:r>
    </w:p>
    <w:p w:rsidR="006158CD" w:rsidRPr="00F8269A" w:rsidRDefault="006158CD" w:rsidP="006158CD">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6158CD" w:rsidRPr="00F8269A" w:rsidRDefault="006158CD" w:rsidP="006158CD">
      <w:pPr>
        <w:ind w:left="1440" w:firstLine="720"/>
        <w:jc w:val="both"/>
      </w:pPr>
      <w:r w:rsidRPr="00F8269A">
        <w:t>Course work assessment</w:t>
      </w:r>
      <w:r w:rsidRPr="00F8269A">
        <w:tab/>
      </w:r>
      <w:r w:rsidRPr="00F8269A">
        <w:tab/>
        <w:t>30%</w:t>
      </w:r>
    </w:p>
    <w:p w:rsidR="006158CD" w:rsidRPr="00F8269A" w:rsidRDefault="006158CD" w:rsidP="006158CD">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6158CD" w:rsidRPr="00F8269A" w:rsidRDefault="006158CD" w:rsidP="006158CD">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6158CD" w:rsidRPr="00F8269A" w:rsidRDefault="006158CD" w:rsidP="006158CD">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6158CD" w:rsidRPr="00F8269A" w:rsidRDefault="006158CD" w:rsidP="006158CD">
      <w:pPr>
        <w:pStyle w:val="Heading6"/>
        <w:rPr>
          <w:sz w:val="24"/>
          <w:szCs w:val="24"/>
        </w:rPr>
      </w:pPr>
      <w:r w:rsidRPr="00F8269A">
        <w:rPr>
          <w:sz w:val="24"/>
          <w:szCs w:val="24"/>
        </w:rPr>
        <w:t>Indicative Sources</w:t>
      </w:r>
    </w:p>
    <w:p w:rsidR="006158CD" w:rsidRPr="00F8269A" w:rsidRDefault="006158CD" w:rsidP="006158CD">
      <w:pPr>
        <w:pStyle w:val="NormalWeb"/>
        <w:numPr>
          <w:ilvl w:val="0"/>
          <w:numId w:val="2"/>
        </w:numPr>
        <w:spacing w:before="0" w:beforeAutospacing="0" w:after="0" w:afterAutospacing="0"/>
        <w:jc w:val="both"/>
      </w:pPr>
      <w:proofErr w:type="spellStart"/>
      <w:r w:rsidRPr="00F8269A">
        <w:t>O’Guinn</w:t>
      </w:r>
      <w:proofErr w:type="spellEnd"/>
      <w:r w:rsidRPr="00F8269A">
        <w:t xml:space="preserve">, T.C., Allen, C.T. and </w:t>
      </w:r>
      <w:proofErr w:type="spellStart"/>
      <w:r w:rsidRPr="00F8269A">
        <w:t>Semenik</w:t>
      </w:r>
      <w:proofErr w:type="spellEnd"/>
      <w:r w:rsidRPr="00F8269A">
        <w:t xml:space="preserve">, R.J. (2006), </w:t>
      </w:r>
      <w:r w:rsidRPr="00F8269A">
        <w:rPr>
          <w:i/>
          <w:iCs/>
        </w:rPr>
        <w:t>Advertising and Integrated Brand Promotion, 4</w:t>
      </w:r>
      <w:r w:rsidRPr="00F8269A">
        <w:rPr>
          <w:i/>
          <w:iCs/>
          <w:vertAlign w:val="superscript"/>
        </w:rPr>
        <w:t>th</w:t>
      </w:r>
      <w:r w:rsidRPr="00F8269A">
        <w:rPr>
          <w:i/>
          <w:iCs/>
        </w:rPr>
        <w:t xml:space="preserve"> edition</w:t>
      </w:r>
      <w:r w:rsidRPr="00F8269A">
        <w:t xml:space="preserve">, Thomson South-Western, </w:t>
      </w:r>
      <w:smartTag w:uri="urn:schemas-microsoft-com:office:smarttags" w:element="place">
        <w:smartTag w:uri="urn:schemas-microsoft-com:office:smarttags" w:element="State">
          <w:r w:rsidRPr="00F8269A">
            <w:t>Ohio</w:t>
          </w:r>
        </w:smartTag>
      </w:smartTag>
      <w:r w:rsidRPr="00F8269A">
        <w:t>.</w:t>
      </w:r>
    </w:p>
    <w:p w:rsidR="006158CD" w:rsidRPr="00F8269A" w:rsidRDefault="006158CD" w:rsidP="006158CD">
      <w:pPr>
        <w:pStyle w:val="NormalWeb"/>
        <w:numPr>
          <w:ilvl w:val="0"/>
          <w:numId w:val="2"/>
        </w:numPr>
        <w:spacing w:before="0" w:beforeAutospacing="0" w:after="0" w:afterAutospacing="0"/>
        <w:jc w:val="both"/>
      </w:pPr>
      <w:r w:rsidRPr="00F8269A">
        <w:t xml:space="preserve">Belch, G.E. and Belch, M.A. (2003), </w:t>
      </w:r>
      <w:r w:rsidRPr="00F8269A">
        <w:rPr>
          <w:i/>
          <w:iCs/>
        </w:rPr>
        <w:t>Advertising and Promotion: An Integrated Marketing Communications Perspective</w:t>
      </w:r>
      <w:r w:rsidRPr="00F8269A">
        <w:t xml:space="preserve">, </w:t>
      </w:r>
      <w:smartTag w:uri="urn:schemas-microsoft-com:office:smarttags" w:element="place">
        <w:smartTag w:uri="urn:schemas-microsoft-com:office:smarttags" w:element="State">
          <w:r w:rsidRPr="00F8269A">
            <w:t>New York</w:t>
          </w:r>
        </w:smartTag>
      </w:smartTag>
      <w:r w:rsidRPr="00F8269A">
        <w:t>: McGraw-Hill/Irwin.</w:t>
      </w:r>
    </w:p>
    <w:p w:rsidR="006158CD" w:rsidRPr="00F8269A" w:rsidRDefault="006158CD" w:rsidP="006158CD">
      <w:pPr>
        <w:pStyle w:val="NormalWeb"/>
        <w:numPr>
          <w:ilvl w:val="0"/>
          <w:numId w:val="2"/>
        </w:numPr>
        <w:spacing w:before="0" w:beforeAutospacing="0" w:after="0" w:afterAutospacing="0"/>
        <w:jc w:val="both"/>
      </w:pPr>
      <w:r w:rsidRPr="00F8269A">
        <w:t xml:space="preserve">Blair, M., Armstrong, R. and Murphy, M. (2003), </w:t>
      </w:r>
      <w:r w:rsidRPr="00F8269A">
        <w:rPr>
          <w:i/>
          <w:iCs/>
        </w:rPr>
        <w:t xml:space="preserve">The 360 Degree Brand in Asia: Creating More Effective Marketing Communications </w:t>
      </w:r>
      <w:smartTag w:uri="urn:schemas-microsoft-com:office:smarttags" w:element="place">
        <w:smartTag w:uri="urn:schemas-microsoft-com:office:smarttags" w:element="country-region">
          <w:r w:rsidRPr="00F8269A">
            <w:t>Singapore</w:t>
          </w:r>
        </w:smartTag>
      </w:smartTag>
      <w:r w:rsidRPr="00F8269A">
        <w:t>: John Wiley &amp;Son.</w:t>
      </w:r>
    </w:p>
    <w:p w:rsidR="006158CD" w:rsidRPr="00F8269A" w:rsidRDefault="006158CD" w:rsidP="006158CD">
      <w:pPr>
        <w:pStyle w:val="NormalWeb"/>
        <w:numPr>
          <w:ilvl w:val="0"/>
          <w:numId w:val="2"/>
        </w:numPr>
        <w:spacing w:before="0" w:beforeAutospacing="0" w:after="0" w:afterAutospacing="0"/>
        <w:jc w:val="both"/>
      </w:pPr>
      <w:proofErr w:type="spellStart"/>
      <w:r w:rsidRPr="00F8269A">
        <w:t>Clow</w:t>
      </w:r>
      <w:proofErr w:type="spellEnd"/>
      <w:r w:rsidRPr="00F8269A">
        <w:t xml:space="preserve">, K. E., and </w:t>
      </w:r>
      <w:proofErr w:type="spellStart"/>
      <w:r w:rsidRPr="00F8269A">
        <w:t>Baack</w:t>
      </w:r>
      <w:proofErr w:type="spellEnd"/>
      <w:r w:rsidRPr="00F8269A">
        <w:t xml:space="preserve">, D. (2004), </w:t>
      </w:r>
      <w:r w:rsidRPr="00F8269A">
        <w:rPr>
          <w:i/>
          <w:iCs/>
        </w:rPr>
        <w:t>Integrated Advertising, Promotion, and Marketing Communications</w:t>
      </w:r>
      <w:r w:rsidRPr="00F8269A">
        <w:t>, 2</w:t>
      </w:r>
      <w:r w:rsidRPr="00F8269A">
        <w:rPr>
          <w:vertAlign w:val="superscript"/>
        </w:rPr>
        <w:t>nd</w:t>
      </w:r>
      <w:r w:rsidRPr="00F8269A">
        <w:t xml:space="preserve"> edition, </w:t>
      </w:r>
      <w:smartTag w:uri="urn:schemas-microsoft-com:office:smarttags" w:element="place">
        <w:smartTag w:uri="urn:schemas-microsoft-com:office:smarttags" w:element="State">
          <w:r w:rsidRPr="00F8269A">
            <w:t>New Jersey</w:t>
          </w:r>
        </w:smartTag>
      </w:smartTag>
      <w:r w:rsidRPr="00F8269A">
        <w:t>: Pearson Prentice Hall</w:t>
      </w:r>
    </w:p>
    <w:p w:rsidR="006158CD" w:rsidRPr="00F8269A" w:rsidRDefault="006158CD" w:rsidP="006158CD">
      <w:pPr>
        <w:pStyle w:val="NormalWeb"/>
        <w:numPr>
          <w:ilvl w:val="0"/>
          <w:numId w:val="2"/>
        </w:numPr>
        <w:spacing w:before="0" w:beforeAutospacing="0" w:after="0" w:afterAutospacing="0"/>
        <w:jc w:val="both"/>
      </w:pPr>
      <w:r w:rsidRPr="00F8269A">
        <w:t xml:space="preserve">Hulbert, J.M., Capon, N. and Piercy, N. (2003), </w:t>
      </w:r>
      <w:r w:rsidRPr="00F8269A">
        <w:rPr>
          <w:i/>
          <w:iCs/>
        </w:rPr>
        <w:t>Total Integrated Marketing: Breaking the Bounds of the Function</w:t>
      </w:r>
      <w:r w:rsidRPr="00F8269A">
        <w:t xml:space="preserve">, </w:t>
      </w:r>
      <w:smartTag w:uri="urn:schemas-microsoft-com:office:smarttags" w:element="place">
        <w:smartTag w:uri="urn:schemas-microsoft-com:office:smarttags" w:element="State">
          <w:r w:rsidRPr="00F8269A">
            <w:t>New York</w:t>
          </w:r>
        </w:smartTag>
      </w:smartTag>
      <w:r w:rsidRPr="00F8269A">
        <w:t>: Free Press.</w:t>
      </w:r>
    </w:p>
    <w:p w:rsidR="006158CD" w:rsidRPr="00F8269A" w:rsidRDefault="006158CD" w:rsidP="006158CD">
      <w:pPr>
        <w:pStyle w:val="NormalWeb"/>
        <w:numPr>
          <w:ilvl w:val="0"/>
          <w:numId w:val="2"/>
        </w:numPr>
        <w:spacing w:before="0" w:beforeAutospacing="0" w:after="0" w:afterAutospacing="0"/>
        <w:jc w:val="both"/>
      </w:pPr>
      <w:proofErr w:type="spellStart"/>
      <w:r w:rsidRPr="00F8269A">
        <w:t>Pickton</w:t>
      </w:r>
      <w:proofErr w:type="spellEnd"/>
      <w:r w:rsidRPr="00F8269A">
        <w:t xml:space="preserve">, D. and Broderick, A. (2001), </w:t>
      </w:r>
      <w:r w:rsidRPr="00F8269A">
        <w:rPr>
          <w:i/>
          <w:iCs/>
        </w:rPr>
        <w:t>Integrated Marketing Communications</w:t>
      </w:r>
      <w:r w:rsidRPr="00F8269A">
        <w:t xml:space="preserve">, </w:t>
      </w:r>
      <w:smartTag w:uri="urn:schemas-microsoft-com:office:smarttags" w:element="place">
        <w:smartTag w:uri="urn:schemas-microsoft-com:office:smarttags" w:element="City">
          <w:r w:rsidRPr="00F8269A">
            <w:t>London</w:t>
          </w:r>
        </w:smartTag>
      </w:smartTag>
      <w:r w:rsidRPr="00F8269A">
        <w:t>: Pearson Education.</w:t>
      </w:r>
    </w:p>
    <w:p w:rsidR="006158CD" w:rsidRPr="00F8269A" w:rsidRDefault="006158CD" w:rsidP="006158CD">
      <w:pPr>
        <w:pStyle w:val="NormalWeb"/>
        <w:numPr>
          <w:ilvl w:val="0"/>
          <w:numId w:val="2"/>
        </w:numPr>
        <w:spacing w:before="0" w:beforeAutospacing="0" w:after="0" w:afterAutospacing="0"/>
        <w:jc w:val="both"/>
      </w:pPr>
      <w:r w:rsidRPr="00F8269A">
        <w:t xml:space="preserve">Schultz, D.E., </w:t>
      </w:r>
      <w:proofErr w:type="spellStart"/>
      <w:r w:rsidRPr="00F8269A">
        <w:t>Tannenbaum</w:t>
      </w:r>
      <w:proofErr w:type="spellEnd"/>
      <w:r w:rsidRPr="00F8269A">
        <w:t xml:space="preserve">, S.I. and </w:t>
      </w:r>
      <w:proofErr w:type="spellStart"/>
      <w:r w:rsidRPr="00F8269A">
        <w:t>Lauterborn</w:t>
      </w:r>
      <w:proofErr w:type="spellEnd"/>
      <w:r w:rsidRPr="00F8269A">
        <w:t xml:space="preserve">, R.F. (1993), </w:t>
      </w:r>
      <w:r w:rsidRPr="00F8269A">
        <w:rPr>
          <w:i/>
          <w:iCs/>
        </w:rPr>
        <w:t>Integrated Marketing Communications</w:t>
      </w:r>
      <w:r w:rsidRPr="00F8269A">
        <w:t>, Chicago: NTC Publishing Group.</w:t>
      </w:r>
    </w:p>
    <w:p w:rsidR="006158CD" w:rsidRPr="00F8269A" w:rsidRDefault="006158CD" w:rsidP="006158CD">
      <w:pPr>
        <w:pStyle w:val="NormalWeb"/>
        <w:numPr>
          <w:ilvl w:val="0"/>
          <w:numId w:val="2"/>
        </w:numPr>
        <w:spacing w:before="0" w:beforeAutospacing="0" w:after="0" w:afterAutospacing="0"/>
        <w:jc w:val="both"/>
      </w:pPr>
      <w:proofErr w:type="spellStart"/>
      <w:r w:rsidRPr="00F8269A">
        <w:t>Semenik</w:t>
      </w:r>
      <w:proofErr w:type="spellEnd"/>
      <w:r w:rsidRPr="00F8269A">
        <w:t xml:space="preserve">, R.J. (2002), </w:t>
      </w:r>
      <w:r w:rsidRPr="00F8269A">
        <w:rPr>
          <w:i/>
          <w:iCs/>
        </w:rPr>
        <w:t>Promotion and integrated Marketing Communications</w:t>
      </w:r>
      <w:r w:rsidRPr="00F8269A">
        <w:t xml:space="preserve">, </w:t>
      </w:r>
      <w:smartTag w:uri="urn:schemas-microsoft-com:office:smarttags" w:element="place">
        <w:smartTag w:uri="urn:schemas-microsoft-com:office:smarttags" w:element="State">
          <w:r w:rsidRPr="00F8269A">
            <w:t>Ohio</w:t>
          </w:r>
        </w:smartTag>
      </w:smartTag>
      <w:r w:rsidRPr="00F8269A">
        <w:t>: South-Western Thomson Learning.</w:t>
      </w:r>
    </w:p>
    <w:p w:rsidR="006158CD" w:rsidRPr="00F8269A" w:rsidRDefault="006158CD" w:rsidP="006158CD">
      <w:pPr>
        <w:pStyle w:val="NormalWeb"/>
        <w:numPr>
          <w:ilvl w:val="0"/>
          <w:numId w:val="2"/>
        </w:numPr>
        <w:spacing w:before="0" w:beforeAutospacing="0" w:after="0" w:afterAutospacing="0"/>
        <w:jc w:val="both"/>
      </w:pPr>
      <w:r w:rsidRPr="00F8269A">
        <w:t xml:space="preserve">Smith, P.R. and </w:t>
      </w:r>
      <w:proofErr w:type="spellStart"/>
      <w:r w:rsidRPr="00F8269A">
        <w:t>Tylor</w:t>
      </w:r>
      <w:proofErr w:type="spellEnd"/>
      <w:r w:rsidRPr="00F8269A">
        <w:t>, J. (2002), Marketing Communications</w:t>
      </w:r>
      <w:r w:rsidRPr="00F8269A">
        <w:rPr>
          <w:i/>
          <w:iCs/>
        </w:rPr>
        <w:t>: An Integrated Approach</w:t>
      </w:r>
      <w:r w:rsidRPr="00F8269A">
        <w:t xml:space="preserve">, </w:t>
      </w:r>
      <w:smartTag w:uri="urn:schemas-microsoft-com:office:smarttags" w:element="City">
        <w:smartTag w:uri="urn:schemas-microsoft-com:office:smarttags" w:element="place">
          <w:r w:rsidRPr="00F8269A">
            <w:t>London</w:t>
          </w:r>
        </w:smartTag>
      </w:smartTag>
      <w:r>
        <w:t xml:space="preserve">: </w:t>
      </w:r>
      <w:proofErr w:type="spellStart"/>
      <w:r>
        <w:t>Kogan</w:t>
      </w:r>
      <w:proofErr w:type="spellEnd"/>
      <w:r>
        <w:t xml:space="preserve"> Page. </w:t>
      </w:r>
    </w:p>
    <w:p w:rsidR="006158CD" w:rsidRPr="00F8269A" w:rsidRDefault="006158CD" w:rsidP="006158CD">
      <w:pPr>
        <w:pStyle w:val="NormalWeb"/>
        <w:numPr>
          <w:ilvl w:val="0"/>
          <w:numId w:val="2"/>
        </w:numPr>
        <w:spacing w:before="0" w:beforeAutospacing="0" w:after="0" w:afterAutospacing="0"/>
        <w:jc w:val="both"/>
      </w:pPr>
      <w:proofErr w:type="spellStart"/>
      <w:r w:rsidRPr="00F8269A">
        <w:t>Tuckwell</w:t>
      </w:r>
      <w:proofErr w:type="spellEnd"/>
      <w:r w:rsidRPr="00F8269A">
        <w:t xml:space="preserve">, K.J. (2005), Integrated Marketing Communications: Strategic Planning Perspectives, </w:t>
      </w:r>
      <w:smartTag w:uri="urn:schemas-microsoft-com:office:smarttags" w:element="place">
        <w:smartTag w:uri="urn:schemas-microsoft-com:office:smarttags" w:element="City">
          <w:r w:rsidRPr="00F8269A">
            <w:t>Toronto</w:t>
          </w:r>
        </w:smartTag>
      </w:smartTag>
      <w:r w:rsidRPr="00F8269A">
        <w:t>: Pearson Prentice Hall.</w:t>
      </w:r>
    </w:p>
    <w:p w:rsidR="006158CD" w:rsidRDefault="006158CD" w:rsidP="006158CD">
      <w:pPr>
        <w:jc w:val="both"/>
      </w:pPr>
    </w:p>
    <w:p w:rsidR="006158CD" w:rsidRDefault="006158CD" w:rsidP="006158CD">
      <w:pPr>
        <w:jc w:val="both"/>
      </w:pPr>
    </w:p>
    <w:p w:rsidR="006158CD" w:rsidRPr="00197935" w:rsidRDefault="006158CD" w:rsidP="006158CD">
      <w:pPr>
        <w:jc w:val="both"/>
      </w:pPr>
    </w:p>
    <w:p w:rsidR="001C3396" w:rsidRDefault="001C3396">
      <w:bookmarkStart w:id="1" w:name="_GoBack"/>
      <w:bookmarkEnd w:id="1"/>
    </w:p>
    <w:sectPr w:rsidR="001C3396" w:rsidSect="002F1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F76"/>
    <w:multiLevelType w:val="hybridMultilevel"/>
    <w:tmpl w:val="BB32E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14847"/>
    <w:multiLevelType w:val="hybridMultilevel"/>
    <w:tmpl w:val="0824C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158CD"/>
    <w:rsid w:val="00004AB9"/>
    <w:rsid w:val="0003100F"/>
    <w:rsid w:val="00050608"/>
    <w:rsid w:val="000B0F2C"/>
    <w:rsid w:val="001668D8"/>
    <w:rsid w:val="001C3396"/>
    <w:rsid w:val="001D65DD"/>
    <w:rsid w:val="001F160E"/>
    <w:rsid w:val="001F2F3E"/>
    <w:rsid w:val="00275EBF"/>
    <w:rsid w:val="00277F46"/>
    <w:rsid w:val="002F110C"/>
    <w:rsid w:val="00420B21"/>
    <w:rsid w:val="00436FC6"/>
    <w:rsid w:val="00510B17"/>
    <w:rsid w:val="00563212"/>
    <w:rsid w:val="00613CA4"/>
    <w:rsid w:val="006158CD"/>
    <w:rsid w:val="00645FBD"/>
    <w:rsid w:val="00670CF2"/>
    <w:rsid w:val="006C5B79"/>
    <w:rsid w:val="00745640"/>
    <w:rsid w:val="0076236D"/>
    <w:rsid w:val="00822069"/>
    <w:rsid w:val="00867664"/>
    <w:rsid w:val="008F7FC7"/>
    <w:rsid w:val="00970755"/>
    <w:rsid w:val="00986DFB"/>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58CD"/>
    <w:pPr>
      <w:keepNext/>
      <w:outlineLvl w:val="1"/>
    </w:pPr>
    <w:rPr>
      <w:b/>
      <w:bCs/>
    </w:rPr>
  </w:style>
  <w:style w:type="paragraph" w:styleId="Heading6">
    <w:name w:val="heading 6"/>
    <w:basedOn w:val="Normal"/>
    <w:next w:val="Normal"/>
    <w:link w:val="Heading6Char"/>
    <w:qFormat/>
    <w:rsid w:val="006158C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8C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158CD"/>
    <w:rPr>
      <w:rFonts w:ascii="Times New Roman" w:eastAsia="Times New Roman" w:hAnsi="Times New Roman" w:cs="Times New Roman"/>
      <w:b/>
      <w:bCs/>
    </w:rPr>
  </w:style>
  <w:style w:type="character" w:styleId="Strong">
    <w:name w:val="Strong"/>
    <w:basedOn w:val="DefaultParagraphFont"/>
    <w:qFormat/>
    <w:rsid w:val="006158CD"/>
    <w:rPr>
      <w:b/>
      <w:bCs/>
    </w:rPr>
  </w:style>
  <w:style w:type="paragraph" w:styleId="NormalWeb">
    <w:name w:val="Normal (Web)"/>
    <w:basedOn w:val="Normal"/>
    <w:uiPriority w:val="99"/>
    <w:rsid w:val="006158CD"/>
    <w:pPr>
      <w:spacing w:before="100" w:beforeAutospacing="1" w:after="100" w:afterAutospacing="1"/>
    </w:pPr>
  </w:style>
  <w:style w:type="paragraph" w:customStyle="1" w:styleId="a1">
    <w:name w:val="a1"/>
    <w:basedOn w:val="Normal"/>
    <w:rsid w:val="006158CD"/>
    <w:pPr>
      <w:spacing w:before="100" w:beforeAutospacing="1" w:after="100" w:afterAutospacing="1"/>
    </w:pPr>
    <w:rPr>
      <w:color w:val="02113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58CD"/>
    <w:pPr>
      <w:keepNext/>
      <w:outlineLvl w:val="1"/>
    </w:pPr>
    <w:rPr>
      <w:b/>
      <w:bCs/>
    </w:rPr>
  </w:style>
  <w:style w:type="paragraph" w:styleId="Heading6">
    <w:name w:val="heading 6"/>
    <w:basedOn w:val="Normal"/>
    <w:next w:val="Normal"/>
    <w:link w:val="Heading6Char"/>
    <w:qFormat/>
    <w:rsid w:val="006158C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8C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158CD"/>
    <w:rPr>
      <w:rFonts w:ascii="Times New Roman" w:eastAsia="Times New Roman" w:hAnsi="Times New Roman" w:cs="Times New Roman"/>
      <w:b/>
      <w:bCs/>
    </w:rPr>
  </w:style>
  <w:style w:type="character" w:styleId="Strong">
    <w:name w:val="Strong"/>
    <w:basedOn w:val="DefaultParagraphFont"/>
    <w:qFormat/>
    <w:rsid w:val="006158CD"/>
    <w:rPr>
      <w:b/>
      <w:bCs/>
    </w:rPr>
  </w:style>
  <w:style w:type="paragraph" w:styleId="NormalWeb">
    <w:name w:val="Normal (Web)"/>
    <w:basedOn w:val="Normal"/>
    <w:uiPriority w:val="99"/>
    <w:rsid w:val="006158CD"/>
    <w:pPr>
      <w:spacing w:before="100" w:beforeAutospacing="1" w:after="100" w:afterAutospacing="1"/>
    </w:pPr>
  </w:style>
  <w:style w:type="paragraph" w:customStyle="1" w:styleId="a1">
    <w:name w:val="a1"/>
    <w:basedOn w:val="Normal"/>
    <w:rsid w:val="006158CD"/>
    <w:pPr>
      <w:spacing w:before="100" w:beforeAutospacing="1" w:after="100" w:afterAutospacing="1"/>
    </w:pPr>
    <w:rPr>
      <w:color w:val="02113C"/>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3721</Characters>
  <Application>Microsoft Office Word</Application>
  <DocSecurity>0</DocSecurity>
  <Lines>31</Lines>
  <Paragraphs>8</Paragraphs>
  <ScaleCrop>false</ScaleCrop>
  <Company>Microsoft</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2014-05-19T09:36:00Z</dcterms:created>
  <dcterms:modified xsi:type="dcterms:W3CDTF">2014-05-19T09:36:00Z</dcterms:modified>
</cp:coreProperties>
</file>