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87" w:rsidRPr="00575501" w:rsidRDefault="00432A87" w:rsidP="00432A87">
      <w:pPr>
        <w:spacing w:line="240" w:lineRule="auto"/>
        <w:rPr>
          <w:rFonts w:ascii="Times New Roman" w:hAnsi="Times New Roman"/>
          <w:sz w:val="24"/>
          <w:szCs w:val="24"/>
          <w:lang w:val="en-GB"/>
        </w:rPr>
      </w:pPr>
      <w:r>
        <w:rPr>
          <w:rFonts w:ascii="Times New Roman" w:hAnsi="Times New Roman"/>
          <w:b/>
          <w:sz w:val="24"/>
          <w:szCs w:val="24"/>
          <w:lang w:val="en-GB"/>
        </w:rPr>
        <w:t>CSK 2206</w:t>
      </w:r>
      <w:r w:rsidRPr="00575501">
        <w:rPr>
          <w:rFonts w:ascii="Times New Roman" w:hAnsi="Times New Roman"/>
          <w:b/>
          <w:sz w:val="24"/>
          <w:szCs w:val="24"/>
          <w:lang w:val="en-GB"/>
        </w:rPr>
        <w:t xml:space="preserve"> COMMUNICATING LIFE SCIENCES</w:t>
      </w:r>
      <w:r w:rsidRPr="00575501">
        <w:rPr>
          <w:rFonts w:ascii="Times New Roman" w:hAnsi="Times New Roman"/>
          <w:sz w:val="24"/>
          <w:szCs w:val="24"/>
          <w:lang w:val="en-GB"/>
        </w:rPr>
        <w:br/>
      </w:r>
      <w:proofErr w:type="gramStart"/>
      <w:r w:rsidRPr="00575501">
        <w:rPr>
          <w:rFonts w:ascii="Times New Roman" w:hAnsi="Times New Roman"/>
          <w:sz w:val="24"/>
          <w:szCs w:val="24"/>
          <w:lang w:val="en-GB"/>
        </w:rPr>
        <w:t>This</w:t>
      </w:r>
      <w:proofErr w:type="gramEnd"/>
      <w:r w:rsidRPr="00575501">
        <w:rPr>
          <w:rFonts w:ascii="Times New Roman" w:hAnsi="Times New Roman"/>
          <w:sz w:val="24"/>
          <w:szCs w:val="24"/>
          <w:lang w:val="en-GB"/>
        </w:rPr>
        <w:t xml:space="preserve"> course explores the structure, meaning and expressions of writing science, technology and science for mass consumption by non-professional audiences. It looks at the contexts in which such writing occurs and also looks at the constraints of those involved in producing this information. Topics include techniques of simplify scientific and technical material for specific audiences within the general public, audience analysis, communicating about risk products/conditions and the history and social structure of science.</w:t>
      </w:r>
    </w:p>
    <w:p w:rsidR="00432A87" w:rsidRPr="00575501" w:rsidRDefault="00432A87" w:rsidP="00432A87">
      <w:pPr>
        <w:spacing w:line="240" w:lineRule="auto"/>
        <w:rPr>
          <w:rFonts w:ascii="Times New Roman" w:hAnsi="Times New Roman"/>
          <w:b/>
          <w:sz w:val="24"/>
          <w:szCs w:val="24"/>
          <w:lang w:val="en-GB"/>
        </w:rPr>
      </w:pPr>
      <w:r w:rsidRPr="00575501">
        <w:rPr>
          <w:rFonts w:ascii="Times New Roman" w:hAnsi="Times New Roman"/>
          <w:b/>
          <w:sz w:val="24"/>
          <w:szCs w:val="24"/>
          <w:lang w:val="en-GB"/>
        </w:rPr>
        <w:t>Course Content:</w:t>
      </w:r>
    </w:p>
    <w:p w:rsidR="00432A87" w:rsidRPr="00575501" w:rsidRDefault="00432A87" w:rsidP="00432A87">
      <w:pPr>
        <w:spacing w:line="240" w:lineRule="auto"/>
        <w:rPr>
          <w:rFonts w:ascii="Times New Roman" w:hAnsi="Times New Roman"/>
          <w:sz w:val="24"/>
          <w:szCs w:val="24"/>
          <w:lang w:val="en-GB"/>
        </w:rPr>
      </w:pPr>
      <w:r w:rsidRPr="00575501">
        <w:rPr>
          <w:rFonts w:ascii="Times New Roman" w:hAnsi="Times New Roman"/>
          <w:sz w:val="24"/>
          <w:szCs w:val="24"/>
          <w:lang w:val="en-GB"/>
        </w:rPr>
        <w:t>Introduction to scientific communication</w:t>
      </w:r>
    </w:p>
    <w:p w:rsidR="00432A87" w:rsidRPr="00575501" w:rsidRDefault="00432A87" w:rsidP="00432A87">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575501">
        <w:rPr>
          <w:rFonts w:ascii="Times New Roman" w:hAnsi="Times New Roman"/>
          <w:sz w:val="24"/>
          <w:szCs w:val="24"/>
        </w:rPr>
        <w:t>Introduction to Science Communication</w:t>
      </w:r>
    </w:p>
    <w:p w:rsidR="00432A87" w:rsidRPr="00575501" w:rsidRDefault="00432A87" w:rsidP="00432A87">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575501">
        <w:rPr>
          <w:rFonts w:ascii="Times New Roman" w:hAnsi="Times New Roman"/>
          <w:sz w:val="24"/>
          <w:szCs w:val="24"/>
        </w:rPr>
        <w:t xml:space="preserve">Public </w:t>
      </w:r>
      <w:proofErr w:type="spellStart"/>
      <w:r w:rsidRPr="00575501">
        <w:rPr>
          <w:rFonts w:ascii="Times New Roman" w:hAnsi="Times New Roman"/>
          <w:sz w:val="24"/>
          <w:szCs w:val="24"/>
        </w:rPr>
        <w:t>Understanding</w:t>
      </w:r>
      <w:proofErr w:type="spellEnd"/>
      <w:r w:rsidRPr="00575501">
        <w:rPr>
          <w:rFonts w:ascii="Times New Roman" w:hAnsi="Times New Roman"/>
          <w:sz w:val="24"/>
          <w:szCs w:val="24"/>
        </w:rPr>
        <w:t xml:space="preserve"> of Science</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Outreach</w:t>
      </w:r>
      <w:proofErr w:type="spellEnd"/>
    </w:p>
    <w:p w:rsidR="00432A87" w:rsidRPr="00575501" w:rsidRDefault="00432A87" w:rsidP="00432A87">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575501">
        <w:rPr>
          <w:rFonts w:ascii="Times New Roman" w:hAnsi="Times New Roman"/>
          <w:sz w:val="24"/>
          <w:szCs w:val="24"/>
        </w:rPr>
        <w:t xml:space="preserve">Science </w:t>
      </w:r>
      <w:proofErr w:type="spellStart"/>
      <w:r w:rsidRPr="00575501">
        <w:rPr>
          <w:rFonts w:ascii="Times New Roman" w:hAnsi="Times New Roman"/>
          <w:sz w:val="24"/>
          <w:szCs w:val="24"/>
        </w:rPr>
        <w:t>Museums</w:t>
      </w:r>
      <w:proofErr w:type="spellEnd"/>
      <w:r w:rsidRPr="00575501">
        <w:rPr>
          <w:rFonts w:ascii="Times New Roman" w:hAnsi="Times New Roman"/>
          <w:sz w:val="24"/>
          <w:szCs w:val="24"/>
        </w:rPr>
        <w:t xml:space="preserve"> and Science Centres</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rPr>
        <w:t>News Content and News Production</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Alternative Modes of </w:t>
      </w:r>
      <w:proofErr w:type="spellStart"/>
      <w:r w:rsidRPr="00575501">
        <w:rPr>
          <w:rFonts w:ascii="Times New Roman" w:hAnsi="Times New Roman"/>
          <w:sz w:val="24"/>
          <w:szCs w:val="24"/>
        </w:rPr>
        <w:t>Scientific</w:t>
      </w:r>
      <w:proofErr w:type="spellEnd"/>
      <w:r w:rsidRPr="00575501">
        <w:rPr>
          <w:rFonts w:ascii="Times New Roman" w:hAnsi="Times New Roman"/>
          <w:sz w:val="24"/>
          <w:szCs w:val="24"/>
        </w:rPr>
        <w:t xml:space="preserve"> Communication</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Communication Frames and Communication </w:t>
      </w:r>
      <w:proofErr w:type="spellStart"/>
      <w:r w:rsidRPr="00575501">
        <w:rPr>
          <w:rFonts w:ascii="Times New Roman" w:hAnsi="Times New Roman"/>
          <w:sz w:val="24"/>
          <w:szCs w:val="24"/>
        </w:rPr>
        <w:t>Effects</w:t>
      </w:r>
      <w:proofErr w:type="spellEnd"/>
    </w:p>
    <w:p w:rsidR="00432A87" w:rsidRPr="00575501" w:rsidRDefault="00432A87" w:rsidP="00432A87">
      <w:pPr>
        <w:pStyle w:val="ListParagraph"/>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Risk</w:t>
      </w:r>
      <w:proofErr w:type="spellEnd"/>
      <w:r w:rsidRPr="00575501">
        <w:rPr>
          <w:rFonts w:ascii="Times New Roman" w:hAnsi="Times New Roman"/>
          <w:sz w:val="24"/>
          <w:szCs w:val="24"/>
        </w:rPr>
        <w:t xml:space="preserve"> Communication</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Natural </w:t>
      </w:r>
      <w:proofErr w:type="spellStart"/>
      <w:r w:rsidRPr="00575501">
        <w:rPr>
          <w:rFonts w:ascii="Times New Roman" w:hAnsi="Times New Roman"/>
          <w:sz w:val="24"/>
          <w:szCs w:val="24"/>
        </w:rPr>
        <w:t>History</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Documentary</w:t>
      </w:r>
      <w:proofErr w:type="spellEnd"/>
      <w:r w:rsidRPr="00575501">
        <w:rPr>
          <w:rFonts w:ascii="Times New Roman" w:hAnsi="Times New Roman"/>
          <w:sz w:val="24"/>
          <w:szCs w:val="24"/>
        </w:rPr>
        <w:t xml:space="preserve"> Films</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Science Communication and Cultural </w:t>
      </w:r>
      <w:proofErr w:type="spellStart"/>
      <w:r w:rsidRPr="00575501">
        <w:rPr>
          <w:rFonts w:ascii="Times New Roman" w:hAnsi="Times New Roman"/>
          <w:sz w:val="24"/>
          <w:szCs w:val="24"/>
        </w:rPr>
        <w:t>Meanings</w:t>
      </w:r>
      <w:proofErr w:type="spellEnd"/>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lang w:val="en-GB"/>
        </w:rPr>
        <w:t>Contemporary communication technologies and their social effects</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lang w:val="en-GB"/>
        </w:rPr>
        <w:t>Visualising science and technology</w:t>
      </w:r>
    </w:p>
    <w:p w:rsidR="00432A87" w:rsidRPr="00575501" w:rsidRDefault="00432A87" w:rsidP="00432A87">
      <w:pPr>
        <w:pStyle w:val="ListParagraph"/>
        <w:numPr>
          <w:ilvl w:val="0"/>
          <w:numId w:val="2"/>
        </w:numPr>
        <w:spacing w:after="0" w:line="240" w:lineRule="auto"/>
        <w:rPr>
          <w:rFonts w:ascii="Times New Roman" w:hAnsi="Times New Roman"/>
          <w:sz w:val="24"/>
          <w:szCs w:val="24"/>
        </w:rPr>
      </w:pPr>
      <w:r w:rsidRPr="00575501">
        <w:rPr>
          <w:rFonts w:ascii="Times New Roman" w:hAnsi="Times New Roman"/>
          <w:sz w:val="24"/>
          <w:szCs w:val="24"/>
          <w:lang w:val="en-GB"/>
        </w:rPr>
        <w:t>Communication on health, environmental, cyber space</w:t>
      </w:r>
    </w:p>
    <w:p w:rsidR="00432A87" w:rsidRPr="00575501" w:rsidRDefault="00432A87" w:rsidP="00432A87">
      <w:pPr>
        <w:pStyle w:val="ListParagraph"/>
        <w:numPr>
          <w:ilvl w:val="0"/>
          <w:numId w:val="2"/>
        </w:numPr>
        <w:spacing w:after="0" w:line="240" w:lineRule="auto"/>
        <w:rPr>
          <w:rFonts w:ascii="Times New Roman" w:hAnsi="Times New Roman"/>
          <w:sz w:val="24"/>
          <w:szCs w:val="24"/>
          <w:lang w:val="en-GB"/>
        </w:rPr>
      </w:pPr>
      <w:r w:rsidRPr="00575501">
        <w:rPr>
          <w:rFonts w:ascii="Times New Roman" w:hAnsi="Times New Roman"/>
          <w:sz w:val="24"/>
          <w:szCs w:val="24"/>
          <w:lang w:val="en-GB"/>
        </w:rPr>
        <w:t>Scientific writing; abstracts, papers, presenting scientific data</w:t>
      </w:r>
    </w:p>
    <w:p w:rsidR="00432A87" w:rsidRPr="00575501" w:rsidRDefault="00432A87" w:rsidP="00432A87">
      <w:pPr>
        <w:pStyle w:val="ListParagraph"/>
        <w:numPr>
          <w:ilvl w:val="0"/>
          <w:numId w:val="2"/>
        </w:numPr>
        <w:spacing w:after="0" w:line="240" w:lineRule="auto"/>
        <w:rPr>
          <w:rFonts w:ascii="Times New Roman" w:hAnsi="Times New Roman"/>
          <w:sz w:val="24"/>
          <w:szCs w:val="24"/>
          <w:lang w:val="en-GB"/>
        </w:rPr>
      </w:pPr>
      <w:r w:rsidRPr="00575501">
        <w:rPr>
          <w:rFonts w:ascii="Times New Roman" w:hAnsi="Times New Roman"/>
          <w:sz w:val="24"/>
          <w:szCs w:val="24"/>
          <w:lang w:val="en-GB"/>
        </w:rPr>
        <w:t>Ethical rules in science</w:t>
      </w:r>
    </w:p>
    <w:p w:rsidR="00432A87" w:rsidRPr="00575501" w:rsidRDefault="00432A87" w:rsidP="00432A87">
      <w:pPr>
        <w:pStyle w:val="ListParagraph"/>
        <w:spacing w:after="0" w:line="240" w:lineRule="auto"/>
        <w:rPr>
          <w:rFonts w:ascii="Times New Roman" w:hAnsi="Times New Roman"/>
          <w:sz w:val="24"/>
          <w:szCs w:val="24"/>
          <w:lang w:val="en-GB"/>
        </w:rPr>
      </w:pPr>
    </w:p>
    <w:p w:rsidR="00432A87" w:rsidRPr="00575501" w:rsidRDefault="00432A87" w:rsidP="00432A87">
      <w:pPr>
        <w:spacing w:line="240" w:lineRule="auto"/>
        <w:rPr>
          <w:rFonts w:ascii="Times New Roman" w:hAnsi="Times New Roman"/>
          <w:b/>
          <w:sz w:val="24"/>
          <w:szCs w:val="24"/>
          <w:lang w:val="en-GB"/>
        </w:rPr>
      </w:pPr>
      <w:r w:rsidRPr="00575501">
        <w:rPr>
          <w:rFonts w:ascii="Times New Roman" w:hAnsi="Times New Roman"/>
          <w:b/>
          <w:sz w:val="24"/>
          <w:szCs w:val="24"/>
          <w:lang w:val="en-GB"/>
        </w:rPr>
        <w:t>Learning Outcomes:</w:t>
      </w:r>
    </w:p>
    <w:p w:rsidR="00432A87" w:rsidRPr="00575501" w:rsidRDefault="00432A87" w:rsidP="00432A87">
      <w:pPr>
        <w:spacing w:line="240" w:lineRule="auto"/>
        <w:rPr>
          <w:rFonts w:ascii="Times New Roman" w:hAnsi="Times New Roman"/>
          <w:sz w:val="24"/>
          <w:szCs w:val="24"/>
          <w:lang w:val="en-GB"/>
        </w:rPr>
      </w:pPr>
      <w:r w:rsidRPr="00575501">
        <w:rPr>
          <w:rFonts w:ascii="Times New Roman" w:hAnsi="Times New Roman"/>
          <w:sz w:val="24"/>
          <w:szCs w:val="24"/>
          <w:lang w:val="en-GB"/>
        </w:rPr>
        <w:t>By the end of the course, students should be able to:</w:t>
      </w:r>
    </w:p>
    <w:p w:rsidR="00432A87" w:rsidRPr="00575501" w:rsidRDefault="00432A87" w:rsidP="00432A87">
      <w:pPr>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Communicate scientific concerns in basic terms to a wider audience</w:t>
      </w:r>
    </w:p>
    <w:p w:rsidR="00432A87" w:rsidRPr="00575501" w:rsidRDefault="00432A87" w:rsidP="00432A87">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Extended coursework essay}</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Group presentation}                       = 30%</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Test}</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(End of Semester)</w:t>
      </w:r>
    </w:p>
    <w:p w:rsidR="00432A87" w:rsidRPr="00575501" w:rsidRDefault="00432A87" w:rsidP="00432A87">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Lectures</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Case Studies</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432A87" w:rsidRPr="00575501" w:rsidRDefault="00432A87" w:rsidP="00432A87">
      <w:pPr>
        <w:pStyle w:val="NoSpacing"/>
        <w:ind w:left="360"/>
        <w:rPr>
          <w:rFonts w:ascii="Times New Roman" w:hAnsi="Times New Roman"/>
          <w:sz w:val="24"/>
          <w:szCs w:val="24"/>
          <w:lang w:val="en-GB"/>
        </w:rPr>
      </w:pPr>
      <w:r w:rsidRPr="00575501">
        <w:rPr>
          <w:rFonts w:ascii="Times New Roman" w:hAnsi="Times New Roman"/>
          <w:sz w:val="24"/>
          <w:szCs w:val="24"/>
          <w:lang w:val="en-GB"/>
        </w:rPr>
        <w:t>Activity Research Work</w:t>
      </w:r>
    </w:p>
    <w:p w:rsidR="00432A87" w:rsidRPr="00575501" w:rsidRDefault="00432A87" w:rsidP="00432A87">
      <w:pPr>
        <w:spacing w:line="240" w:lineRule="auto"/>
        <w:rPr>
          <w:rFonts w:ascii="Times New Roman" w:hAnsi="Times New Roman"/>
          <w:b/>
          <w:sz w:val="24"/>
          <w:szCs w:val="24"/>
          <w:lang w:val="en-GB"/>
        </w:rPr>
      </w:pPr>
      <w:r w:rsidRPr="00575501">
        <w:rPr>
          <w:rFonts w:ascii="Times New Roman" w:hAnsi="Times New Roman"/>
          <w:b/>
          <w:sz w:val="24"/>
          <w:szCs w:val="24"/>
          <w:lang w:val="en-GB"/>
        </w:rPr>
        <w:t>References:</w:t>
      </w:r>
    </w:p>
    <w:p w:rsidR="00432A87" w:rsidRPr="00575501" w:rsidRDefault="00432A87" w:rsidP="00432A87">
      <w:pPr>
        <w:spacing w:line="240" w:lineRule="auto"/>
        <w:ind w:left="240" w:hanging="240"/>
        <w:rPr>
          <w:rFonts w:ascii="Times New Roman" w:hAnsi="Times New Roman"/>
          <w:sz w:val="24"/>
          <w:szCs w:val="24"/>
          <w:lang w:val="en-GB"/>
        </w:rPr>
      </w:pPr>
      <w:r w:rsidRPr="00575501">
        <w:rPr>
          <w:rFonts w:ascii="Times New Roman" w:hAnsi="Times New Roman"/>
          <w:sz w:val="24"/>
          <w:szCs w:val="24"/>
          <w:lang w:val="en-GB"/>
        </w:rPr>
        <w:lastRenderedPageBreak/>
        <w:t xml:space="preserve">Condit, C. et al. (2001) “An Exploratory Study of the Impact of News Headlines on Genetic Determinism,” </w:t>
      </w:r>
      <w:r w:rsidRPr="00575501">
        <w:rPr>
          <w:rFonts w:ascii="Times New Roman" w:hAnsi="Times New Roman"/>
          <w:i/>
          <w:sz w:val="24"/>
          <w:szCs w:val="24"/>
          <w:lang w:val="en-GB"/>
        </w:rPr>
        <w:t>Science Communication</w:t>
      </w:r>
      <w:r w:rsidRPr="00575501">
        <w:rPr>
          <w:rFonts w:ascii="Times New Roman" w:hAnsi="Times New Roman"/>
          <w:sz w:val="24"/>
          <w:szCs w:val="24"/>
          <w:lang w:val="en-GB"/>
        </w:rPr>
        <w:t>, 22(4): 379-395.</w:t>
      </w:r>
    </w:p>
    <w:p w:rsidR="00432A87" w:rsidRPr="00575501" w:rsidRDefault="00432A87" w:rsidP="00432A87">
      <w:pPr>
        <w:spacing w:line="240" w:lineRule="auto"/>
        <w:ind w:left="240" w:hanging="240"/>
        <w:rPr>
          <w:rFonts w:ascii="Times New Roman" w:hAnsi="Times New Roman"/>
          <w:sz w:val="24"/>
          <w:szCs w:val="24"/>
          <w:lang w:val="en-GB"/>
        </w:rPr>
      </w:pPr>
      <w:r w:rsidRPr="00575501">
        <w:rPr>
          <w:rFonts w:ascii="Times New Roman" w:hAnsi="Times New Roman"/>
          <w:sz w:val="24"/>
          <w:szCs w:val="24"/>
          <w:lang w:val="en-GB"/>
        </w:rPr>
        <w:t xml:space="preserve">Conrad, P. (1997) “Public Eyes and Private Genes: Historical Frames, New Constructions, and Social Problems,” </w:t>
      </w:r>
      <w:r w:rsidRPr="00575501">
        <w:rPr>
          <w:rFonts w:ascii="Times New Roman" w:hAnsi="Times New Roman"/>
          <w:i/>
          <w:sz w:val="24"/>
          <w:szCs w:val="24"/>
          <w:lang w:val="en-GB"/>
        </w:rPr>
        <w:t>Social Problems</w:t>
      </w:r>
      <w:r w:rsidRPr="00575501">
        <w:rPr>
          <w:rFonts w:ascii="Times New Roman" w:hAnsi="Times New Roman"/>
          <w:sz w:val="24"/>
          <w:szCs w:val="24"/>
          <w:lang w:val="en-GB"/>
        </w:rPr>
        <w:t xml:space="preserve">, 44(2): 139-154. </w:t>
      </w:r>
    </w:p>
    <w:p w:rsidR="00432A87" w:rsidRPr="00575501" w:rsidRDefault="00432A87" w:rsidP="00432A87">
      <w:pPr>
        <w:spacing w:line="240" w:lineRule="auto"/>
        <w:ind w:left="240" w:hanging="240"/>
        <w:rPr>
          <w:rFonts w:ascii="Times New Roman" w:hAnsi="Times New Roman"/>
          <w:sz w:val="24"/>
          <w:szCs w:val="24"/>
          <w:lang w:val="en-GB"/>
        </w:rPr>
      </w:pPr>
      <w:proofErr w:type="spellStart"/>
      <w:r w:rsidRPr="00575501">
        <w:rPr>
          <w:rFonts w:ascii="Times New Roman" w:hAnsi="Times New Roman"/>
          <w:color w:val="000000"/>
          <w:sz w:val="24"/>
          <w:szCs w:val="24"/>
          <w:lang w:val="en-GB"/>
        </w:rPr>
        <w:t>Krosnick</w:t>
      </w:r>
      <w:proofErr w:type="spellEnd"/>
      <w:r w:rsidRPr="00575501">
        <w:rPr>
          <w:rFonts w:ascii="Times New Roman" w:hAnsi="Times New Roman"/>
          <w:color w:val="000000"/>
          <w:sz w:val="24"/>
          <w:szCs w:val="24"/>
          <w:lang w:val="en-GB"/>
        </w:rPr>
        <w:t xml:space="preserve">, Jon et al. (2000) “The Impact of the </w:t>
      </w:r>
      <w:proofErr w:type="gramStart"/>
      <w:r w:rsidRPr="00575501">
        <w:rPr>
          <w:rFonts w:ascii="Times New Roman" w:hAnsi="Times New Roman"/>
          <w:color w:val="000000"/>
          <w:sz w:val="24"/>
          <w:szCs w:val="24"/>
          <w:lang w:val="en-GB"/>
        </w:rPr>
        <w:t>Fall</w:t>
      </w:r>
      <w:proofErr w:type="gramEnd"/>
      <w:r w:rsidRPr="00575501">
        <w:rPr>
          <w:rFonts w:ascii="Times New Roman" w:hAnsi="Times New Roman"/>
          <w:color w:val="000000"/>
          <w:sz w:val="24"/>
          <w:szCs w:val="24"/>
          <w:lang w:val="en-GB"/>
        </w:rPr>
        <w:t xml:space="preserve"> 1997 Debate about Global Warming on American Public Opinion,” </w:t>
      </w:r>
      <w:r w:rsidRPr="00575501">
        <w:rPr>
          <w:rFonts w:ascii="Times New Roman" w:hAnsi="Times New Roman"/>
          <w:i/>
          <w:color w:val="000000"/>
          <w:sz w:val="24"/>
          <w:szCs w:val="24"/>
          <w:lang w:val="en-GB"/>
        </w:rPr>
        <w:t>Public Understanding of Science</w:t>
      </w:r>
      <w:r w:rsidRPr="00575501">
        <w:rPr>
          <w:rFonts w:ascii="Times New Roman" w:hAnsi="Times New Roman"/>
          <w:color w:val="000000"/>
          <w:sz w:val="24"/>
          <w:szCs w:val="24"/>
          <w:lang w:val="en-GB"/>
        </w:rPr>
        <w:t>, 9: 239-260.</w:t>
      </w:r>
    </w:p>
    <w:tbl>
      <w:tblPr>
        <w:tblW w:w="0" w:type="auto"/>
        <w:tblCellSpacing w:w="0" w:type="dxa"/>
        <w:tblCellMar>
          <w:left w:w="0" w:type="dxa"/>
          <w:right w:w="0" w:type="dxa"/>
        </w:tblCellMar>
        <w:tblLook w:val="04A0"/>
      </w:tblPr>
      <w:tblGrid>
        <w:gridCol w:w="120"/>
      </w:tblGrid>
      <w:tr w:rsidR="00432A87" w:rsidRPr="00790A96" w:rsidTr="000E4EAF">
        <w:trPr>
          <w:tblCellSpacing w:w="0" w:type="dxa"/>
        </w:trPr>
        <w:tc>
          <w:tcPr>
            <w:tcW w:w="120" w:type="dxa"/>
            <w:vAlign w:val="center"/>
          </w:tcPr>
          <w:p w:rsidR="00432A87" w:rsidRPr="00790A96" w:rsidRDefault="00432A87" w:rsidP="000E4EAF">
            <w:pPr>
              <w:spacing w:after="0" w:line="240" w:lineRule="auto"/>
              <w:rPr>
                <w:rFonts w:ascii="Times New Roman" w:eastAsia="Times New Roman" w:hAnsi="Times New Roman"/>
                <w:sz w:val="24"/>
                <w:szCs w:val="24"/>
                <w:lang w:val="en-GB" w:eastAsia="en-GB"/>
              </w:rPr>
            </w:pPr>
          </w:p>
        </w:tc>
      </w:tr>
    </w:tbl>
    <w:p w:rsidR="00432A87" w:rsidRPr="00790A96" w:rsidRDefault="00432A87" w:rsidP="00432A87">
      <w:pPr>
        <w:spacing w:after="0" w:line="240" w:lineRule="auto"/>
        <w:rPr>
          <w:rFonts w:ascii="Times New Roman" w:eastAsia="Times New Roman" w:hAnsi="Times New Roman"/>
          <w:vanish/>
          <w:sz w:val="24"/>
          <w:szCs w:val="24"/>
          <w:lang w:val="en-GB" w:eastAsia="en-GB"/>
        </w:rPr>
      </w:pPr>
    </w:p>
    <w:p w:rsidR="00432A87" w:rsidRPr="00575501" w:rsidRDefault="00432A87" w:rsidP="00432A87">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Holliman, R., </w:t>
      </w:r>
      <w:proofErr w:type="spellStart"/>
      <w:r w:rsidRPr="00575501">
        <w:rPr>
          <w:rFonts w:ascii="Times New Roman" w:hAnsi="Times New Roman"/>
          <w:sz w:val="24"/>
          <w:szCs w:val="24"/>
          <w:lang w:val="en-GB"/>
        </w:rPr>
        <w:t>Whitelegg</w:t>
      </w:r>
      <w:proofErr w:type="spellEnd"/>
      <w:r w:rsidRPr="00575501">
        <w:rPr>
          <w:rFonts w:ascii="Times New Roman" w:hAnsi="Times New Roman"/>
          <w:sz w:val="24"/>
          <w:szCs w:val="24"/>
          <w:lang w:val="en-GB"/>
        </w:rPr>
        <w:t xml:space="preserve">, E., Scanlon, E. &amp; </w:t>
      </w:r>
      <w:proofErr w:type="spellStart"/>
      <w:r w:rsidRPr="00575501">
        <w:rPr>
          <w:rFonts w:ascii="Times New Roman" w:hAnsi="Times New Roman"/>
          <w:sz w:val="24"/>
          <w:szCs w:val="24"/>
          <w:lang w:val="en-GB"/>
        </w:rPr>
        <w:t>Smidt</w:t>
      </w:r>
      <w:proofErr w:type="spellEnd"/>
      <w:r w:rsidRPr="00575501">
        <w:rPr>
          <w:rFonts w:ascii="Times New Roman" w:hAnsi="Times New Roman"/>
          <w:sz w:val="24"/>
          <w:szCs w:val="24"/>
          <w:lang w:val="en-GB"/>
        </w:rPr>
        <w:t>, S. (2008). Investigating Science Communication in the Information Age: Implications for Public Engagement and Popular Media (Communicating Science in the Information Age)</w:t>
      </w:r>
    </w:p>
    <w:tbl>
      <w:tblPr>
        <w:tblW w:w="0" w:type="auto"/>
        <w:tblCellSpacing w:w="0" w:type="dxa"/>
        <w:tblCellMar>
          <w:left w:w="0" w:type="dxa"/>
          <w:right w:w="0" w:type="dxa"/>
        </w:tblCellMar>
        <w:tblLook w:val="04A0"/>
      </w:tblPr>
      <w:tblGrid>
        <w:gridCol w:w="1725"/>
        <w:gridCol w:w="120"/>
      </w:tblGrid>
      <w:tr w:rsidR="00432A87" w:rsidRPr="001270D0" w:rsidTr="000E4EAF">
        <w:trPr>
          <w:tblCellSpacing w:w="0" w:type="dxa"/>
        </w:trPr>
        <w:tc>
          <w:tcPr>
            <w:tcW w:w="1725" w:type="dxa"/>
            <w:vAlign w:val="center"/>
          </w:tcPr>
          <w:p w:rsidR="00432A87" w:rsidRPr="001270D0" w:rsidRDefault="00432A87" w:rsidP="000E4EAF">
            <w:pPr>
              <w:spacing w:after="0" w:line="240" w:lineRule="auto"/>
              <w:jc w:val="center"/>
              <w:rPr>
                <w:rFonts w:ascii="Times New Roman" w:eastAsia="Times New Roman" w:hAnsi="Times New Roman"/>
                <w:sz w:val="24"/>
                <w:szCs w:val="24"/>
                <w:lang w:val="en-GB" w:eastAsia="en-GB"/>
              </w:rPr>
            </w:pPr>
          </w:p>
        </w:tc>
        <w:tc>
          <w:tcPr>
            <w:tcW w:w="120" w:type="dxa"/>
            <w:vAlign w:val="center"/>
          </w:tcPr>
          <w:p w:rsidR="00432A87" w:rsidRPr="001270D0" w:rsidRDefault="00432A87" w:rsidP="000E4EAF">
            <w:pPr>
              <w:spacing w:after="0" w:line="240" w:lineRule="auto"/>
              <w:rPr>
                <w:rFonts w:ascii="Times New Roman" w:eastAsia="Times New Roman" w:hAnsi="Times New Roman"/>
                <w:sz w:val="24"/>
                <w:szCs w:val="24"/>
                <w:lang w:val="en-GB" w:eastAsia="en-GB"/>
              </w:rPr>
            </w:pPr>
          </w:p>
        </w:tc>
      </w:tr>
    </w:tbl>
    <w:p w:rsidR="00432A87" w:rsidRPr="001270D0" w:rsidRDefault="00432A87" w:rsidP="00432A87">
      <w:pPr>
        <w:spacing w:after="0" w:line="240" w:lineRule="auto"/>
        <w:rPr>
          <w:rFonts w:ascii="Times New Roman" w:eastAsia="Times New Roman" w:hAnsi="Times New Roman"/>
          <w:vanish/>
          <w:sz w:val="24"/>
          <w:szCs w:val="24"/>
          <w:lang w:val="en-GB" w:eastAsia="en-GB"/>
        </w:rPr>
      </w:pPr>
    </w:p>
    <w:p w:rsidR="00432A87" w:rsidRPr="00575501" w:rsidRDefault="00432A87" w:rsidP="00432A87">
      <w:pPr>
        <w:spacing w:line="240" w:lineRule="auto"/>
        <w:rPr>
          <w:rFonts w:ascii="Times New Roman" w:hAnsi="Times New Roman"/>
          <w:sz w:val="24"/>
          <w:szCs w:val="24"/>
          <w:lang w:val="en-GB"/>
        </w:rPr>
      </w:pPr>
      <w:proofErr w:type="spellStart"/>
      <w:r w:rsidRPr="00575501">
        <w:rPr>
          <w:rFonts w:ascii="Times New Roman" w:hAnsi="Times New Roman"/>
          <w:sz w:val="24"/>
          <w:szCs w:val="24"/>
          <w:lang w:val="en-GB"/>
        </w:rPr>
        <w:t>Bucchi</w:t>
      </w:r>
      <w:proofErr w:type="spellEnd"/>
      <w:r w:rsidRPr="00575501">
        <w:rPr>
          <w:rFonts w:ascii="Times New Roman" w:hAnsi="Times New Roman"/>
          <w:sz w:val="24"/>
          <w:szCs w:val="24"/>
          <w:lang w:val="en-GB"/>
        </w:rPr>
        <w:t xml:space="preserve">, M. &amp; Trench, B. (2008).Handbook of Public Communication of Science and </w:t>
      </w:r>
      <w:proofErr w:type="spellStart"/>
      <w:r w:rsidRPr="00575501">
        <w:rPr>
          <w:rFonts w:ascii="Times New Roman" w:hAnsi="Times New Roman"/>
          <w:sz w:val="24"/>
          <w:szCs w:val="24"/>
          <w:lang w:val="en-GB"/>
        </w:rPr>
        <w:t>Technology.Routlegde</w:t>
      </w:r>
      <w:proofErr w:type="spellEnd"/>
      <w:r w:rsidRPr="00575501">
        <w:rPr>
          <w:rFonts w:ascii="Times New Roman" w:hAnsi="Times New Roman"/>
          <w:sz w:val="24"/>
          <w:szCs w:val="24"/>
          <w:lang w:val="en-GB"/>
        </w:rPr>
        <w:t xml:space="preserve"> International.</w:t>
      </w:r>
    </w:p>
    <w:p w:rsidR="00432A87" w:rsidRPr="00575501" w:rsidRDefault="00432A87" w:rsidP="00432A87">
      <w:pPr>
        <w:spacing w:line="240" w:lineRule="auto"/>
        <w:rPr>
          <w:rFonts w:ascii="Times New Roman" w:hAnsi="Times New Roman"/>
          <w:b/>
          <w:sz w:val="24"/>
          <w:szCs w:val="24"/>
          <w:lang w:val="en-GB"/>
        </w:rPr>
      </w:pPr>
    </w:p>
    <w:p w:rsidR="001C3396" w:rsidRDefault="001C3396">
      <w:bookmarkStart w:id="0" w:name="_GoBack"/>
      <w:bookmarkEnd w:id="0"/>
    </w:p>
    <w:sectPr w:rsidR="001C3396" w:rsidSect="00105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6185E"/>
    <w:multiLevelType w:val="hybridMultilevel"/>
    <w:tmpl w:val="FDC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050A2"/>
    <w:multiLevelType w:val="hybridMultilevel"/>
    <w:tmpl w:val="2E586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32A87"/>
    <w:rsid w:val="00004AB9"/>
    <w:rsid w:val="0003100F"/>
    <w:rsid w:val="00050608"/>
    <w:rsid w:val="000B0F2C"/>
    <w:rsid w:val="00105019"/>
    <w:rsid w:val="001668D8"/>
    <w:rsid w:val="001C3396"/>
    <w:rsid w:val="001F160E"/>
    <w:rsid w:val="001F2F3E"/>
    <w:rsid w:val="00275EBF"/>
    <w:rsid w:val="00277F46"/>
    <w:rsid w:val="00420B21"/>
    <w:rsid w:val="00432A87"/>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36107"/>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87"/>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87"/>
    <w:pPr>
      <w:ind w:left="720"/>
      <w:contextualSpacing/>
    </w:pPr>
  </w:style>
  <w:style w:type="paragraph" w:styleId="NoSpacing">
    <w:name w:val="No Spacing"/>
    <w:uiPriority w:val="1"/>
    <w:qFormat/>
    <w:rsid w:val="00432A87"/>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87"/>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87"/>
    <w:pPr>
      <w:ind w:left="720"/>
      <w:contextualSpacing/>
    </w:pPr>
  </w:style>
  <w:style w:type="paragraph" w:styleId="NoSpacing">
    <w:name w:val="No Spacing"/>
    <w:uiPriority w:val="1"/>
    <w:qFormat/>
    <w:rsid w:val="00432A87"/>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2014-07-01T09:11:00Z</dcterms:created>
  <dcterms:modified xsi:type="dcterms:W3CDTF">2014-07-01T09:11:00Z</dcterms:modified>
</cp:coreProperties>
</file>