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5A" w:rsidRPr="00575501" w:rsidRDefault="007D075A" w:rsidP="007D075A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CSK 3212</w:t>
      </w:r>
      <w:r w:rsidRPr="00575501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 xml:space="preserve"> CHANGING BEHAVIOR THROUGH COMMUNICATION</w:t>
      </w:r>
      <w:bookmarkStart w:id="0" w:name="442"/>
      <w:bookmarkEnd w:id="0"/>
      <w:r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br/>
        <w:t xml:space="preserve">The goal of many communication initiatives is to encourage some type of </w:t>
      </w:r>
      <w:r w:rsidR="00F02371"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>behaviour</w:t>
      </w:r>
      <w:r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change. Communication professionals who understand how people change their </w:t>
      </w:r>
      <w:r w:rsidR="00F02371"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>behaviour</w:t>
      </w:r>
      <w:r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can create more successful campaigns. This course surveys major theories used to predict when and under what circumstances individuals are most likely to change their </w:t>
      </w:r>
      <w:r w:rsidR="00F02371"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>behaviour</w:t>
      </w:r>
      <w:r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. </w:t>
      </w:r>
      <w:r w:rsidR="00F02371"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>Behaviour</w:t>
      </w:r>
      <w:r w:rsidRPr="00575501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change includes a variety of actions, such as voting for a candidate, purchasing a product, joining a social networking group, or adopting a new health habit. Individual-level, interpersonal-level, and community-level models of change are covered. By becoming familiar with specific theories and the empirical support for those theories, students learn how to use social-science based models to guide their communication strategies effectively.</w:t>
      </w:r>
    </w:p>
    <w:p w:rsidR="007D075A" w:rsidRDefault="007D075A" w:rsidP="007D075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:rsidR="007D075A" w:rsidRDefault="007D075A" w:rsidP="007D075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:rsidR="007D075A" w:rsidRPr="00575501" w:rsidRDefault="007D075A" w:rsidP="007D075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  <w:r w:rsidRPr="00575501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Course Content: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Introduction</w:t>
      </w:r>
    </w:p>
    <w:p w:rsidR="007D075A" w:rsidRPr="00575501" w:rsidRDefault="007D075A" w:rsidP="007D075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Defining Behaviour Change, Behavior Change Communication</w:t>
      </w:r>
    </w:p>
    <w:p w:rsidR="007D075A" w:rsidRPr="00575501" w:rsidRDefault="007D075A" w:rsidP="007D075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The behaviour change process</w:t>
      </w:r>
    </w:p>
    <w:p w:rsidR="007D075A" w:rsidRPr="00575501" w:rsidRDefault="007D075A" w:rsidP="007D075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Behaviour change theories</w:t>
      </w:r>
    </w:p>
    <w:p w:rsidR="007D075A" w:rsidRPr="00575501" w:rsidRDefault="007D075A" w:rsidP="007D075A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Principles of changing behaviour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Behaviour change programs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Defining the problem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Audience targeting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 xml:space="preserve">Conducting format assessment 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Segment target population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Defining communication and Behaviour change objectives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Selection of communication channels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Designing key messages and materials</w:t>
      </w:r>
    </w:p>
    <w:p w:rsidR="007D075A" w:rsidRPr="00575501" w:rsidRDefault="007D075A" w:rsidP="007D075A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Pre-testing materials and messages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Dissemination, Implementation, Monitoring and Evaluation</w:t>
      </w:r>
    </w:p>
    <w:p w:rsidR="007D075A" w:rsidRPr="00575501" w:rsidRDefault="007D075A" w:rsidP="007D075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Message dissemination</w:t>
      </w:r>
    </w:p>
    <w:p w:rsidR="007D075A" w:rsidRPr="00575501" w:rsidRDefault="007D075A" w:rsidP="007D075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Monitoring BCC programs</w:t>
      </w:r>
    </w:p>
    <w:p w:rsidR="007D075A" w:rsidRPr="00575501" w:rsidRDefault="007D075A" w:rsidP="007D075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Evaluation and re-planning</w:t>
      </w:r>
    </w:p>
    <w:p w:rsidR="007D075A" w:rsidRPr="00575501" w:rsidRDefault="007D075A" w:rsidP="007D075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Evaluation of message effect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Designing a communication strategy</w:t>
      </w:r>
    </w:p>
    <w:p w:rsidR="007D075A" w:rsidRPr="00575501" w:rsidRDefault="007D075A" w:rsidP="007D075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Introduction</w:t>
      </w:r>
    </w:p>
    <w:p w:rsidR="007D075A" w:rsidRPr="00575501" w:rsidRDefault="007D075A" w:rsidP="007D075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Steps</w:t>
      </w:r>
    </w:p>
    <w:p w:rsidR="007D075A" w:rsidRPr="00575501" w:rsidRDefault="007D075A" w:rsidP="007D075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 w:eastAsia="en-GB"/>
        </w:rPr>
      </w:pPr>
      <w:r w:rsidRPr="00575501">
        <w:rPr>
          <w:rFonts w:ascii="Times New Roman" w:hAnsi="Times New Roman"/>
          <w:sz w:val="24"/>
          <w:szCs w:val="24"/>
          <w:lang w:val="en-GB" w:eastAsia="en-GB"/>
        </w:rPr>
        <w:t>Key elements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Effective of behaviour change communication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Commanding attention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Catering for the heart and mind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Clarity of message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Consistency checks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Communicating a benefit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Creating trust</w:t>
      </w:r>
    </w:p>
    <w:p w:rsidR="007D075A" w:rsidRPr="00575501" w:rsidRDefault="007D075A" w:rsidP="007D075A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Calling for action</w:t>
      </w:r>
    </w:p>
    <w:p w:rsidR="007D075A" w:rsidRPr="00575501" w:rsidRDefault="007D075A" w:rsidP="007D075A">
      <w:pPr>
        <w:pStyle w:val="NoSpacing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7D075A" w:rsidRPr="00575501" w:rsidRDefault="007D075A" w:rsidP="007D075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lastRenderedPageBreak/>
        <w:t>Learning Outcomes: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By the end of the course students should be able to:</w:t>
      </w:r>
    </w:p>
    <w:p w:rsidR="007D075A" w:rsidRPr="00575501" w:rsidRDefault="007D075A" w:rsidP="007D075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Use behaviour change models in any context of change</w:t>
      </w:r>
    </w:p>
    <w:p w:rsidR="007D075A" w:rsidRPr="00575501" w:rsidRDefault="007D075A" w:rsidP="007D075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Develop appropriate strategies for dealing with behaviour change for development purposes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7D075A" w:rsidRPr="00575501" w:rsidRDefault="007D075A" w:rsidP="007D075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Course assessment: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Extended coursework essay}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presentation}                       = 30%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Test}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Final Comprehensive Examination = 70%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(End of Semester)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7D075A" w:rsidRDefault="007D075A" w:rsidP="007D075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7D075A" w:rsidRPr="00575501" w:rsidRDefault="007D075A" w:rsidP="007D075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Instruction methods: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Lectures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Case Studies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Group Discussion and Class Presentations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>Activity Research Work</w:t>
      </w:r>
    </w:p>
    <w:p w:rsidR="007D075A" w:rsidRPr="00575501" w:rsidRDefault="007D075A" w:rsidP="007D075A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7D075A" w:rsidRPr="00575501" w:rsidRDefault="007D075A" w:rsidP="007D075A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575501">
        <w:rPr>
          <w:rFonts w:ascii="Times New Roman" w:hAnsi="Times New Roman"/>
          <w:b/>
          <w:sz w:val="24"/>
          <w:szCs w:val="24"/>
          <w:lang w:val="en-GB"/>
        </w:rPr>
        <w:t>References:</w:t>
      </w:r>
    </w:p>
    <w:p w:rsidR="007D075A" w:rsidRPr="00575501" w:rsidRDefault="007D075A" w:rsidP="007D075A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Fraser C &amp;Restropo E. S, (2000) Communication for Development Human Change For Survival, </w:t>
      </w:r>
      <w:smartTag w:uri="urn:schemas-microsoft-com:office:smarttags" w:element="State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New York</w:t>
          </w:r>
        </w:smartTag>
      </w:smartTag>
      <w:r w:rsidRPr="00575501">
        <w:rPr>
          <w:rFonts w:ascii="Times New Roman" w:hAnsi="Times New Roman"/>
          <w:sz w:val="24"/>
          <w:szCs w:val="24"/>
          <w:lang w:val="en-GB"/>
        </w:rPr>
        <w:t>, IB Tauris Publishers</w:t>
      </w:r>
    </w:p>
    <w:p w:rsidR="007D075A" w:rsidRPr="00575501" w:rsidRDefault="007D075A" w:rsidP="007D075A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Fonts w:ascii="Times New Roman" w:hAnsi="Times New Roman"/>
          <w:sz w:val="24"/>
          <w:szCs w:val="24"/>
          <w:lang w:val="en-GB"/>
        </w:rPr>
        <w:t xml:space="preserve">Melkote, Srinivas R (2000)    Communication for Development in the Third World:  Theory &amp; Practice, Sage Publications, </w:t>
      </w:r>
      <w:smartTag w:uri="urn:schemas-microsoft-com:office:smarttags" w:element="City">
        <w:smartTag w:uri="urn:schemas-microsoft-com:office:smarttags" w:element="place">
          <w:r w:rsidRPr="00575501">
            <w:rPr>
              <w:rFonts w:ascii="Times New Roman" w:hAnsi="Times New Roman"/>
              <w:sz w:val="24"/>
              <w:szCs w:val="24"/>
              <w:lang w:val="en-GB"/>
            </w:rPr>
            <w:t>New Delhi</w:t>
          </w:r>
        </w:smartTag>
      </w:smartTag>
    </w:p>
    <w:p w:rsidR="007D075A" w:rsidRPr="00575501" w:rsidRDefault="007D075A" w:rsidP="007D075A">
      <w:pPr>
        <w:spacing w:line="24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575501">
        <w:rPr>
          <w:rStyle w:val="bindingblock"/>
          <w:rFonts w:ascii="Times New Roman" w:hAnsi="Times New Roman"/>
          <w:sz w:val="24"/>
          <w:szCs w:val="24"/>
          <w:lang w:val="en-GB"/>
        </w:rPr>
        <w:t>Lahey, L. &amp;Kegan, R. (2002). How the way we talk can change the we work: Seven Languages of Transformation.</w:t>
      </w:r>
    </w:p>
    <w:p w:rsidR="001C3396" w:rsidRDefault="001C3396">
      <w:bookmarkStart w:id="1" w:name="_GoBack"/>
      <w:bookmarkEnd w:id="1"/>
    </w:p>
    <w:sectPr w:rsidR="001C3396" w:rsidSect="00620B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75" w:rsidRDefault="00CA0475" w:rsidP="0001611A">
      <w:pPr>
        <w:spacing w:after="0" w:line="240" w:lineRule="auto"/>
      </w:pPr>
      <w:r>
        <w:separator/>
      </w:r>
    </w:p>
  </w:endnote>
  <w:endnote w:type="continuationSeparator" w:id="1">
    <w:p w:rsidR="00CA0475" w:rsidRDefault="00CA0475" w:rsidP="0001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FD" w:rsidRDefault="0001611A">
    <w:pPr>
      <w:pStyle w:val="Footer"/>
      <w:jc w:val="right"/>
    </w:pPr>
    <w:r>
      <w:fldChar w:fldCharType="begin"/>
    </w:r>
    <w:r w:rsidR="007D075A">
      <w:instrText xml:space="preserve"> PAGE   \* MERGEFORMAT </w:instrText>
    </w:r>
    <w:r>
      <w:fldChar w:fldCharType="separate"/>
    </w:r>
    <w:r w:rsidR="00F02371">
      <w:rPr>
        <w:noProof/>
      </w:rPr>
      <w:t>1</w:t>
    </w:r>
    <w:r>
      <w:fldChar w:fldCharType="end"/>
    </w:r>
  </w:p>
  <w:p w:rsidR="004D09FD" w:rsidRDefault="00CA0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75" w:rsidRDefault="00CA0475" w:rsidP="0001611A">
      <w:pPr>
        <w:spacing w:after="0" w:line="240" w:lineRule="auto"/>
      </w:pPr>
      <w:r>
        <w:separator/>
      </w:r>
    </w:p>
  </w:footnote>
  <w:footnote w:type="continuationSeparator" w:id="1">
    <w:p w:rsidR="00CA0475" w:rsidRDefault="00CA0475" w:rsidP="0001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ABA"/>
    <w:multiLevelType w:val="hybridMultilevel"/>
    <w:tmpl w:val="08FA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0F04"/>
    <w:multiLevelType w:val="hybridMultilevel"/>
    <w:tmpl w:val="A330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15E16"/>
    <w:multiLevelType w:val="hybridMultilevel"/>
    <w:tmpl w:val="63A0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E569D"/>
    <w:multiLevelType w:val="hybridMultilevel"/>
    <w:tmpl w:val="2A1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5446D"/>
    <w:multiLevelType w:val="hybridMultilevel"/>
    <w:tmpl w:val="92847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70FF7"/>
    <w:multiLevelType w:val="hybridMultilevel"/>
    <w:tmpl w:val="3ABA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414A1"/>
    <w:multiLevelType w:val="hybridMultilevel"/>
    <w:tmpl w:val="2666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75A"/>
    <w:rsid w:val="00004AB9"/>
    <w:rsid w:val="0001611A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D075A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A0475"/>
    <w:rsid w:val="00DA14BD"/>
    <w:rsid w:val="00DA19F4"/>
    <w:rsid w:val="00DD6960"/>
    <w:rsid w:val="00F02371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5A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5A"/>
    <w:rPr>
      <w:rFonts w:ascii="Calibri" w:eastAsia="Calibri" w:hAnsi="Calibri" w:cs="Times New Roman"/>
      <w:lang w:val="fr-FR"/>
    </w:rPr>
  </w:style>
  <w:style w:type="paragraph" w:styleId="NoSpacing">
    <w:name w:val="No Spacing"/>
    <w:uiPriority w:val="1"/>
    <w:qFormat/>
    <w:rsid w:val="007D075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bindingblock">
    <w:name w:val="bindingblock"/>
    <w:basedOn w:val="DefaultParagraphFont"/>
    <w:rsid w:val="007D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5A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5A"/>
    <w:rPr>
      <w:rFonts w:ascii="Calibri" w:eastAsia="Calibri" w:hAnsi="Calibri" w:cs="Times New Roman"/>
      <w:lang w:val="fr-FR"/>
    </w:rPr>
  </w:style>
  <w:style w:type="paragraph" w:styleId="NoSpacing">
    <w:name w:val="No Spacing"/>
    <w:uiPriority w:val="1"/>
    <w:qFormat/>
    <w:rsid w:val="007D075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bindingblock">
    <w:name w:val="bindingblock"/>
    <w:basedOn w:val="DefaultParagraphFont"/>
    <w:rsid w:val="007D0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2014-07-01T13:59:00Z</dcterms:created>
  <dcterms:modified xsi:type="dcterms:W3CDTF">2014-07-01T13:59:00Z</dcterms:modified>
</cp:coreProperties>
</file>