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8B" w:rsidRDefault="009D2E8B" w:rsidP="009D2E8B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2207 Disability and Human Rights</w:t>
      </w:r>
    </w:p>
    <w:p w:rsidR="009D2E8B" w:rsidRDefault="009D2E8B" w:rsidP="009D2E8B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</w:p>
    <w:p w:rsidR="009D2E8B" w:rsidRDefault="009D2E8B" w:rsidP="009D2E8B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Description</w:t>
      </w:r>
    </w:p>
    <w:p w:rsidR="009D2E8B" w:rsidRDefault="009D2E8B" w:rsidP="009D2E8B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</w:p>
    <w:p w:rsidR="009D2E8B" w:rsidRDefault="009D2E8B" w:rsidP="009D2E8B">
      <w:pPr>
        <w:widowControl/>
        <w:jc w:val="both"/>
        <w:rPr>
          <w:sz w:val="24"/>
          <w:szCs w:val="24"/>
        </w:rPr>
      </w:pPr>
      <w:r w:rsidRPr="00C44CBB">
        <w:rPr>
          <w:sz w:val="24"/>
          <w:szCs w:val="24"/>
        </w:rPr>
        <w:t>The Disability and Development (D&amp;D) course focuses on a broad range of issues related to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disability and rehabilitation in the context of development. This means that the focus is on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 xml:space="preserve">people with disabilities in low and middle-income countries. </w:t>
      </w:r>
      <w:r>
        <w:rPr>
          <w:sz w:val="24"/>
          <w:szCs w:val="24"/>
        </w:rPr>
        <w:t xml:space="preserve">The will help in the realization that </w:t>
      </w:r>
      <w:r w:rsidRPr="00C44CBB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Millennium Development Goals cannot be met without addressing the needs of people with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disability</w:t>
      </w:r>
      <w:r>
        <w:rPr>
          <w:sz w:val="24"/>
          <w:szCs w:val="24"/>
        </w:rPr>
        <w:t>. The will discuss issues like;</w:t>
      </w:r>
      <w:r w:rsidRPr="00C44CBB">
        <w:rPr>
          <w:sz w:val="24"/>
          <w:szCs w:val="24"/>
        </w:rPr>
        <w:t xml:space="preserve"> disability and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development</w:t>
      </w:r>
      <w:r>
        <w:rPr>
          <w:sz w:val="24"/>
          <w:szCs w:val="24"/>
        </w:rPr>
        <w:t>, the ad</w:t>
      </w:r>
      <w:r w:rsidRPr="00C44CBB">
        <w:rPr>
          <w:sz w:val="24"/>
          <w:szCs w:val="24"/>
        </w:rPr>
        <w:t>option of the UN Convention on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the Righ</w:t>
      </w:r>
      <w:r>
        <w:rPr>
          <w:sz w:val="24"/>
          <w:szCs w:val="24"/>
        </w:rPr>
        <w:t xml:space="preserve">ts of Persons with Disabilities, </w:t>
      </w:r>
      <w:r w:rsidRPr="00C44CBB">
        <w:rPr>
          <w:sz w:val="24"/>
          <w:szCs w:val="24"/>
        </w:rPr>
        <w:t>human rights issue</w:t>
      </w:r>
      <w:r>
        <w:rPr>
          <w:sz w:val="24"/>
          <w:szCs w:val="24"/>
        </w:rPr>
        <w:t>s in development,</w:t>
      </w:r>
      <w:r w:rsidRPr="00C44CBB">
        <w:rPr>
          <w:sz w:val="24"/>
          <w:szCs w:val="24"/>
        </w:rPr>
        <w:t xml:space="preserve"> education in social and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development studies and in international public health. The course will cover essential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knowledge and skills in this subject.</w:t>
      </w:r>
    </w:p>
    <w:p w:rsidR="009D2E8B" w:rsidRDefault="009D2E8B" w:rsidP="009D2E8B">
      <w:pPr>
        <w:widowControl/>
        <w:jc w:val="both"/>
        <w:rPr>
          <w:sz w:val="24"/>
          <w:szCs w:val="24"/>
        </w:rPr>
      </w:pPr>
    </w:p>
    <w:p w:rsidR="009D2E8B" w:rsidRPr="00C44CBB" w:rsidRDefault="009D2E8B" w:rsidP="009D2E8B">
      <w:pPr>
        <w:widowControl/>
        <w:jc w:val="both"/>
        <w:rPr>
          <w:b/>
          <w:sz w:val="24"/>
          <w:szCs w:val="24"/>
        </w:rPr>
      </w:pPr>
      <w:r w:rsidRPr="00C44CBB">
        <w:rPr>
          <w:b/>
          <w:sz w:val="24"/>
          <w:szCs w:val="24"/>
        </w:rPr>
        <w:t>Course Objectives</w:t>
      </w:r>
    </w:p>
    <w:p w:rsidR="009D2E8B" w:rsidRDefault="009D2E8B" w:rsidP="009D2E8B">
      <w:pPr>
        <w:widowControl/>
        <w:jc w:val="both"/>
        <w:rPr>
          <w:sz w:val="24"/>
          <w:szCs w:val="24"/>
        </w:rPr>
      </w:pP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develop an understanding of disability and the issues faced by people with disabilities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develop knowledge and skills for disability research, policy development and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management related to disability, rehabilitation and development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acquire insight into the epidemiology of disability, with separate attention for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important determinants like gender, poverty and HIV/AIDS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learn how to use relevant models of disability and the conceptual framework of the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International Classification of Functioning, Disability and Health (ICF)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understand the importance of human rights in relation to disability and to learn to use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the UN Convention for the Rights of Persons with Disabilities for advocacy and other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rights-based interventions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acquire skills and knowledge in measurement and research methods relevant to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disability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understand the importance of inter-</w:t>
      </w:r>
      <w:r w:rsidR="003549EC" w:rsidRPr="00C44CBB">
        <w:rPr>
          <w:sz w:val="24"/>
          <w:szCs w:val="24"/>
        </w:rPr>
        <w:t>sectorial</w:t>
      </w:r>
      <w:bookmarkStart w:id="0" w:name="_GoBack"/>
      <w:bookmarkEnd w:id="0"/>
      <w:r w:rsidRPr="00C44CBB">
        <w:rPr>
          <w:sz w:val="24"/>
          <w:szCs w:val="24"/>
        </w:rPr>
        <w:t xml:space="preserve"> collaboration</w:t>
      </w:r>
    </w:p>
    <w:p w:rsidR="009D2E8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To gain insight in participatory approaches</w:t>
      </w:r>
    </w:p>
    <w:p w:rsidR="009D2E8B" w:rsidRDefault="009D2E8B" w:rsidP="009D2E8B">
      <w:pPr>
        <w:widowControl/>
        <w:jc w:val="both"/>
        <w:rPr>
          <w:sz w:val="24"/>
          <w:szCs w:val="24"/>
        </w:rPr>
      </w:pP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  <w:r w:rsidRPr="00C44CBB">
        <w:rPr>
          <w:b/>
          <w:sz w:val="24"/>
          <w:szCs w:val="24"/>
        </w:rPr>
        <w:t>Learning Objectives</w:t>
      </w: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</w:p>
    <w:p w:rsidR="009D2E8B" w:rsidRPr="00016376" w:rsidRDefault="009D2E8B" w:rsidP="009D2E8B">
      <w:pPr>
        <w:widowControl/>
        <w:jc w:val="both"/>
        <w:rPr>
          <w:sz w:val="24"/>
          <w:szCs w:val="24"/>
        </w:rPr>
      </w:pPr>
      <w:r w:rsidRPr="00016376">
        <w:rPr>
          <w:sz w:val="24"/>
          <w:szCs w:val="24"/>
        </w:rPr>
        <w:t>By the end of the course, the students should have learnt the following: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C44CBB">
        <w:rPr>
          <w:sz w:val="24"/>
          <w:szCs w:val="24"/>
        </w:rPr>
        <w:t>understanding of disability and the issues faced by people with disabilities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and</w:t>
      </w:r>
      <w:r w:rsidRPr="00C44CBB">
        <w:rPr>
          <w:sz w:val="24"/>
          <w:szCs w:val="24"/>
        </w:rPr>
        <w:t xml:space="preserve"> skills for disability research, policy development and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management related to disability, rehabilitation and development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44CBB">
        <w:rPr>
          <w:sz w:val="24"/>
          <w:szCs w:val="24"/>
        </w:rPr>
        <w:t>cquire insight into the epidemiology of disability, with separate attention for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important determinants like gender, poverty and HIV/AIDS</w:t>
      </w:r>
    </w:p>
    <w:p w:rsidR="009D2E8B" w:rsidRPr="00C44CB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Skills </w:t>
      </w:r>
      <w:r w:rsidRPr="00C44CBB">
        <w:rPr>
          <w:sz w:val="24"/>
          <w:szCs w:val="24"/>
        </w:rPr>
        <w:t>to use relevant models of disability and the conceptual framework of the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International Classification of Functioning, Disability and Health (ICF)</w:t>
      </w:r>
    </w:p>
    <w:p w:rsidR="009D2E8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44CBB">
        <w:rPr>
          <w:sz w:val="24"/>
          <w:szCs w:val="24"/>
        </w:rPr>
        <w:t>he importance of human rights in relation to disability</w:t>
      </w:r>
    </w:p>
    <w:p w:rsidR="009D2E8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44CBB">
        <w:rPr>
          <w:sz w:val="24"/>
          <w:szCs w:val="24"/>
        </w:rPr>
        <w:t>UN Convention for the Rights of Persons with Disabilities</w:t>
      </w:r>
    </w:p>
    <w:p w:rsidR="009D2E8B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C44CBB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Pr="00C44CBB">
        <w:rPr>
          <w:sz w:val="24"/>
          <w:szCs w:val="24"/>
        </w:rPr>
        <w:t xml:space="preserve"> skills and knowledge in measurement and research methods relevant to</w:t>
      </w:r>
      <w:r>
        <w:rPr>
          <w:sz w:val="24"/>
          <w:szCs w:val="24"/>
        </w:rPr>
        <w:t xml:space="preserve"> </w:t>
      </w:r>
      <w:r w:rsidRPr="00C44CBB">
        <w:rPr>
          <w:sz w:val="24"/>
          <w:szCs w:val="24"/>
        </w:rPr>
        <w:t>disability</w:t>
      </w:r>
    </w:p>
    <w:p w:rsidR="009D2E8B" w:rsidRPr="00016376" w:rsidRDefault="009D2E8B" w:rsidP="009D2E8B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44CBB">
        <w:rPr>
          <w:sz w:val="24"/>
          <w:szCs w:val="24"/>
        </w:rPr>
        <w:t>he importance of inter-</w:t>
      </w:r>
      <w:r w:rsidR="003549EC">
        <w:rPr>
          <w:sz w:val="24"/>
          <w:szCs w:val="24"/>
        </w:rPr>
        <w:t>sectorial</w:t>
      </w:r>
      <w:r>
        <w:rPr>
          <w:sz w:val="24"/>
          <w:szCs w:val="24"/>
        </w:rPr>
        <w:t xml:space="preserve"> collaboration and insight in participatory approaches to handling persons with disabilities</w:t>
      </w: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Outline</w:t>
      </w:r>
    </w:p>
    <w:p w:rsidR="009D2E8B" w:rsidRDefault="009D2E8B" w:rsidP="009D2E8B">
      <w:pPr>
        <w:widowControl/>
        <w:jc w:val="both"/>
        <w:rPr>
          <w:b/>
          <w:sz w:val="24"/>
          <w:szCs w:val="24"/>
        </w:rPr>
      </w:pP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Disability models and stereotypes,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Frequencies and distribution of disability,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Experience of having a disability,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ICF conceptual framework,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Rights of persons with disabilities, including the UN Convention on the Rights of Persons</w:t>
      </w:r>
      <w:r>
        <w:rPr>
          <w:sz w:val="24"/>
          <w:szCs w:val="24"/>
        </w:rPr>
        <w:t xml:space="preserve"> </w:t>
      </w:r>
      <w:r w:rsidRPr="0020653C">
        <w:rPr>
          <w:sz w:val="24"/>
          <w:szCs w:val="24"/>
        </w:rPr>
        <w:t>with Disabilities,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Culture and disability,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Determinants of disability, including stigma and discrimination, poverty, gender and</w:t>
      </w:r>
      <w:r>
        <w:rPr>
          <w:sz w:val="24"/>
          <w:szCs w:val="24"/>
        </w:rPr>
        <w:t xml:space="preserve"> </w:t>
      </w:r>
      <w:r w:rsidRPr="0020653C">
        <w:rPr>
          <w:sz w:val="24"/>
          <w:szCs w:val="24"/>
        </w:rPr>
        <w:t>HIV/AIDS,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Measurement of disability,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Disability-relevant research methods, including survey methods, examples of disability</w:t>
      </w:r>
      <w:r>
        <w:rPr>
          <w:sz w:val="24"/>
          <w:szCs w:val="24"/>
        </w:rPr>
        <w:t xml:space="preserve"> </w:t>
      </w:r>
      <w:r w:rsidRPr="0020653C">
        <w:rPr>
          <w:sz w:val="24"/>
          <w:szCs w:val="24"/>
        </w:rPr>
        <w:t>research, and</w:t>
      </w:r>
    </w:p>
    <w:p w:rsidR="009D2E8B" w:rsidRPr="0020653C" w:rsidRDefault="009D2E8B" w:rsidP="009D2E8B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20653C">
        <w:rPr>
          <w:sz w:val="24"/>
          <w:szCs w:val="24"/>
        </w:rPr>
        <w:t>An introduction to community-based rehabilitation</w:t>
      </w:r>
    </w:p>
    <w:p w:rsidR="009D2E8B" w:rsidRDefault="009D2E8B" w:rsidP="009D2E8B">
      <w:pPr>
        <w:widowControl/>
        <w:rPr>
          <w:rFonts w:ascii="TTE2B21A70t00" w:hAnsi="TTE2B21A70t00" w:cs="TTE2B21A70t00"/>
          <w:sz w:val="23"/>
          <w:szCs w:val="23"/>
        </w:rPr>
      </w:pPr>
    </w:p>
    <w:p w:rsidR="009D2E8B" w:rsidRPr="00137BA9" w:rsidRDefault="009D2E8B" w:rsidP="009D2E8B">
      <w:pPr>
        <w:widowControl/>
        <w:rPr>
          <w:b/>
          <w:sz w:val="24"/>
          <w:szCs w:val="24"/>
        </w:rPr>
      </w:pPr>
      <w:r w:rsidRPr="00137BA9">
        <w:rPr>
          <w:b/>
          <w:sz w:val="24"/>
          <w:szCs w:val="24"/>
        </w:rPr>
        <w:t>Methodology</w:t>
      </w:r>
    </w:p>
    <w:p w:rsidR="009D2E8B" w:rsidRPr="00137BA9" w:rsidRDefault="009D2E8B" w:rsidP="009D2E8B">
      <w:pPr>
        <w:widowControl/>
        <w:jc w:val="both"/>
        <w:rPr>
          <w:sz w:val="24"/>
          <w:szCs w:val="24"/>
        </w:rPr>
      </w:pPr>
    </w:p>
    <w:p w:rsidR="009D2E8B" w:rsidRPr="00137BA9" w:rsidRDefault="009D2E8B" w:rsidP="009D2E8B">
      <w:pPr>
        <w:widowControl/>
        <w:jc w:val="both"/>
        <w:rPr>
          <w:sz w:val="24"/>
          <w:szCs w:val="24"/>
        </w:rPr>
      </w:pPr>
      <w:r w:rsidRPr="00137BA9">
        <w:rPr>
          <w:sz w:val="24"/>
          <w:szCs w:val="24"/>
        </w:rPr>
        <w:t xml:space="preserve">Lectures with practical exercises, tutorial groups, </w:t>
      </w:r>
      <w:proofErr w:type="spellStart"/>
      <w:r w:rsidRPr="00137BA9">
        <w:rPr>
          <w:sz w:val="24"/>
          <w:szCs w:val="24"/>
        </w:rPr>
        <w:t>self study</w:t>
      </w:r>
      <w:proofErr w:type="spellEnd"/>
      <w:r w:rsidRPr="00137BA9">
        <w:rPr>
          <w:sz w:val="24"/>
          <w:szCs w:val="24"/>
        </w:rPr>
        <w:t>, experiential</w:t>
      </w:r>
      <w:r>
        <w:rPr>
          <w:sz w:val="24"/>
          <w:szCs w:val="24"/>
        </w:rPr>
        <w:t xml:space="preserve"> </w:t>
      </w:r>
      <w:r w:rsidRPr="00137BA9">
        <w:rPr>
          <w:sz w:val="24"/>
          <w:szCs w:val="24"/>
        </w:rPr>
        <w:t>learning and group assignments</w:t>
      </w:r>
    </w:p>
    <w:p w:rsidR="009D2E8B" w:rsidRPr="00137BA9" w:rsidRDefault="009D2E8B" w:rsidP="009D2E8B">
      <w:pPr>
        <w:widowControl/>
        <w:jc w:val="both"/>
        <w:rPr>
          <w:sz w:val="24"/>
          <w:szCs w:val="24"/>
        </w:rPr>
      </w:pPr>
    </w:p>
    <w:p w:rsidR="009D2E8B" w:rsidRPr="00137BA9" w:rsidRDefault="009D2E8B" w:rsidP="009D2E8B">
      <w:pPr>
        <w:widowControl/>
        <w:jc w:val="both"/>
        <w:rPr>
          <w:b/>
          <w:sz w:val="24"/>
          <w:szCs w:val="24"/>
        </w:rPr>
      </w:pPr>
      <w:r w:rsidRPr="00137BA9">
        <w:rPr>
          <w:b/>
          <w:sz w:val="24"/>
          <w:szCs w:val="24"/>
        </w:rPr>
        <w:t>Mode of assessment</w:t>
      </w:r>
    </w:p>
    <w:p w:rsidR="009D2E8B" w:rsidRPr="00137BA9" w:rsidRDefault="009D2E8B" w:rsidP="009D2E8B">
      <w:pPr>
        <w:widowControl/>
        <w:jc w:val="both"/>
        <w:rPr>
          <w:sz w:val="24"/>
          <w:szCs w:val="24"/>
        </w:rPr>
      </w:pPr>
    </w:p>
    <w:p w:rsidR="009D2E8B" w:rsidRPr="00DC5020" w:rsidRDefault="009D2E8B" w:rsidP="009D2E8B">
      <w:pPr>
        <w:jc w:val="both"/>
        <w:rPr>
          <w:sz w:val="24"/>
          <w:szCs w:val="24"/>
        </w:rPr>
      </w:pPr>
      <w:r w:rsidRPr="00137BA9">
        <w:rPr>
          <w:sz w:val="24"/>
          <w:szCs w:val="24"/>
        </w:rPr>
        <w:t>Assessment is based on individual assignments, tutorial group work and</w:t>
      </w:r>
      <w:r>
        <w:rPr>
          <w:sz w:val="24"/>
          <w:szCs w:val="24"/>
        </w:rPr>
        <w:t xml:space="preserve"> </w:t>
      </w:r>
      <w:r w:rsidRPr="00137BA9">
        <w:rPr>
          <w:sz w:val="24"/>
          <w:szCs w:val="24"/>
        </w:rPr>
        <w:t>an individual written examination</w:t>
      </w:r>
      <w:r>
        <w:rPr>
          <w:sz w:val="24"/>
          <w:szCs w:val="24"/>
        </w:rPr>
        <w:t>: Take home exercise 15%; Practical exercise test 15%; End of s</w:t>
      </w:r>
      <w:r w:rsidRPr="00DC5020">
        <w:rPr>
          <w:sz w:val="24"/>
          <w:szCs w:val="24"/>
        </w:rPr>
        <w:t>emester</w:t>
      </w:r>
      <w:r>
        <w:rPr>
          <w:sz w:val="24"/>
          <w:szCs w:val="24"/>
        </w:rPr>
        <w:t xml:space="preserve"> examination </w:t>
      </w:r>
      <w:r w:rsidRPr="00DC5020">
        <w:rPr>
          <w:sz w:val="24"/>
          <w:szCs w:val="24"/>
        </w:rPr>
        <w:t>70%</w:t>
      </w:r>
      <w:r>
        <w:rPr>
          <w:sz w:val="24"/>
          <w:szCs w:val="24"/>
        </w:rPr>
        <w:t>.</w:t>
      </w:r>
      <w:r w:rsidRPr="00DC5020">
        <w:rPr>
          <w:sz w:val="24"/>
          <w:szCs w:val="24"/>
        </w:rPr>
        <w:t xml:space="preserve"> </w:t>
      </w:r>
    </w:p>
    <w:p w:rsidR="009D2E8B" w:rsidRPr="00261586" w:rsidRDefault="009D2E8B" w:rsidP="009D2E8B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9D2E8B" w:rsidRDefault="009D2E8B" w:rsidP="009D2E8B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261586">
        <w:rPr>
          <w:b/>
          <w:bCs/>
          <w:sz w:val="24"/>
          <w:szCs w:val="24"/>
        </w:rPr>
        <w:t>Reading List</w:t>
      </w:r>
    </w:p>
    <w:p w:rsidR="009D2E8B" w:rsidRPr="00261586" w:rsidRDefault="009D2E8B" w:rsidP="009D2E8B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261586">
        <w:rPr>
          <w:b/>
          <w:bCs/>
          <w:sz w:val="24"/>
          <w:szCs w:val="24"/>
        </w:rPr>
        <w:t xml:space="preserve"> </w:t>
      </w:r>
    </w:p>
    <w:p w:rsidR="009D2E8B" w:rsidRPr="00CA6167" w:rsidRDefault="009D2E8B" w:rsidP="009D2E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Oloka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Onyango</w:t>
      </w:r>
      <w:proofErr w:type="spellEnd"/>
      <w:r>
        <w:rPr>
          <w:sz w:val="24"/>
          <w:szCs w:val="24"/>
        </w:rPr>
        <w:t xml:space="preserve"> </w:t>
      </w:r>
      <w:r w:rsidRPr="00CA6167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CA6167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Pr="00CA6167">
        <w:rPr>
          <w:sz w:val="24"/>
          <w:szCs w:val="24"/>
        </w:rPr>
        <w:t xml:space="preserve">Reinforcing  Marginalized  Rights </w:t>
      </w:r>
      <w:r>
        <w:rPr>
          <w:sz w:val="24"/>
          <w:szCs w:val="24"/>
        </w:rPr>
        <w:t xml:space="preserve"> in  the  Age of  Globalization: International  Mechanisms:</w:t>
      </w:r>
      <w:r w:rsidRPr="00CA6167">
        <w:rPr>
          <w:sz w:val="24"/>
          <w:szCs w:val="24"/>
        </w:rPr>
        <w:t xml:space="preserve"> Non-state actors  and  the  Struggles  for  Peoples’ Rights  in  Africa</w:t>
      </w:r>
      <w:r>
        <w:rPr>
          <w:sz w:val="24"/>
          <w:szCs w:val="24"/>
        </w:rPr>
        <w:t>”</w:t>
      </w:r>
      <w:r w:rsidRPr="00CA6167">
        <w:rPr>
          <w:sz w:val="24"/>
          <w:szCs w:val="24"/>
        </w:rPr>
        <w:t xml:space="preserve">, , </w:t>
      </w:r>
      <w:r w:rsidRPr="00B224DA">
        <w:rPr>
          <w:i/>
          <w:sz w:val="24"/>
          <w:szCs w:val="24"/>
        </w:rPr>
        <w:t xml:space="preserve">American </w:t>
      </w:r>
      <w:r>
        <w:rPr>
          <w:i/>
          <w:sz w:val="24"/>
          <w:szCs w:val="24"/>
        </w:rPr>
        <w:t>University International</w:t>
      </w:r>
      <w:r w:rsidRPr="00B224DA">
        <w:rPr>
          <w:i/>
          <w:sz w:val="24"/>
          <w:szCs w:val="24"/>
        </w:rPr>
        <w:t xml:space="preserve"> Law  Review</w:t>
      </w:r>
      <w:r w:rsidRPr="00CA6167">
        <w:rPr>
          <w:sz w:val="24"/>
          <w:szCs w:val="24"/>
        </w:rPr>
        <w:t>, Vol. 18, No.4</w:t>
      </w:r>
      <w:r>
        <w:rPr>
          <w:sz w:val="24"/>
          <w:szCs w:val="24"/>
        </w:rPr>
        <w:t>,</w:t>
      </w:r>
      <w:r w:rsidRPr="00CA6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2003 </w:t>
      </w:r>
    </w:p>
    <w:p w:rsidR="009D2E8B" w:rsidRPr="00CA6167" w:rsidRDefault="009D2E8B" w:rsidP="009D2E8B">
      <w:pPr>
        <w:pStyle w:val="hang"/>
        <w:spacing w:before="0" w:beforeAutospacing="0" w:after="0" w:afterAutospacing="0"/>
        <w:jc w:val="both"/>
      </w:pPr>
      <w:proofErr w:type="spellStart"/>
      <w:r w:rsidRPr="00CA6167">
        <w:t>Hanmer</w:t>
      </w:r>
      <w:proofErr w:type="spellEnd"/>
      <w:r w:rsidRPr="00CA6167">
        <w:t xml:space="preserve">, </w:t>
      </w:r>
      <w:smartTag w:uri="urn:schemas-microsoft-com:office:smarttags" w:element="place">
        <w:r w:rsidRPr="00CA6167">
          <w:t>I.</w:t>
        </w:r>
      </w:smartTag>
      <w:r w:rsidRPr="00CA6167">
        <w:t xml:space="preserve">, </w:t>
      </w:r>
      <w:proofErr w:type="spellStart"/>
      <w:r w:rsidRPr="00CA6167">
        <w:t>Pyatt</w:t>
      </w:r>
      <w:proofErr w:type="spellEnd"/>
      <w:r w:rsidRPr="00CA6167">
        <w:t xml:space="preserve">, H. and White, H. </w:t>
      </w:r>
      <w:r w:rsidRPr="00B224DA">
        <w:rPr>
          <w:i/>
          <w:iCs/>
        </w:rPr>
        <w:t xml:space="preserve">Poverty in Sub-Saharan Africa: What Can we </w:t>
      </w:r>
      <w:proofErr w:type="gramStart"/>
      <w:r w:rsidRPr="00B224DA">
        <w:rPr>
          <w:i/>
          <w:iCs/>
        </w:rPr>
        <w:t>Learn</w:t>
      </w:r>
      <w:proofErr w:type="gramEnd"/>
      <w:r w:rsidRPr="00B224DA">
        <w:rPr>
          <w:i/>
          <w:iCs/>
        </w:rPr>
        <w:t xml:space="preserve"> about the World Bank’s Poverty Assessments?</w:t>
      </w:r>
      <w:r w:rsidRPr="00CA6167">
        <w:t xml:space="preserve"> </w:t>
      </w:r>
      <w:smartTag w:uri="urn:schemas-microsoft-com:office:smarttags" w:element="City">
        <w:r w:rsidRPr="00CA6167">
          <w:t>The Hague</w:t>
        </w:r>
      </w:smartTag>
      <w:r w:rsidRPr="00CA6167">
        <w:t xml:space="preserve">: </w:t>
      </w:r>
      <w:smartTag w:uri="urn:schemas-microsoft-com:office:smarttags" w:element="place">
        <w:smartTag w:uri="urn:schemas-microsoft-com:office:smarttags" w:element="PlaceType">
          <w:r w:rsidRPr="00CA6167">
            <w:t>Institute</w:t>
          </w:r>
        </w:smartTag>
        <w:r w:rsidRPr="00CA6167">
          <w:t xml:space="preserve"> of </w:t>
        </w:r>
        <w:smartTag w:uri="urn:schemas-microsoft-com:office:smarttags" w:element="PlaceName">
          <w:r w:rsidRPr="00CA6167">
            <w:t>Social Studies</w:t>
          </w:r>
        </w:smartTag>
      </w:smartTag>
      <w:r>
        <w:t xml:space="preserve"> Advisory Services, 1997</w:t>
      </w:r>
    </w:p>
    <w:p w:rsidR="009D2E8B" w:rsidRPr="00CA6167" w:rsidRDefault="009D2E8B" w:rsidP="009D2E8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Tamale, Sylvia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Rosila</w:t>
      </w:r>
      <w:proofErr w:type="spellEnd"/>
      <w:r w:rsidRPr="00CA6167">
        <w:rPr>
          <w:rFonts w:ascii="Times New Roman" w:hAnsi="Times New Roman"/>
          <w:color w:val="auto"/>
          <w:sz w:val="24"/>
          <w:szCs w:val="24"/>
        </w:rPr>
        <w:t xml:space="preserve"> 1997</w:t>
      </w:r>
      <w:r w:rsidRPr="00B224D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>When Hens B</w:t>
      </w:r>
      <w:r w:rsidRPr="00B224DA">
        <w:rPr>
          <w:rFonts w:ascii="Times New Roman" w:hAnsi="Times New Roman"/>
          <w:i/>
          <w:color w:val="auto"/>
          <w:sz w:val="24"/>
          <w:szCs w:val="24"/>
        </w:rPr>
        <w:t xml:space="preserve">egin to </w:t>
      </w:r>
      <w:r>
        <w:rPr>
          <w:rFonts w:ascii="Times New Roman" w:hAnsi="Times New Roman"/>
          <w:i/>
          <w:color w:val="auto"/>
          <w:sz w:val="24"/>
          <w:szCs w:val="24"/>
        </w:rPr>
        <w:t>C</w:t>
      </w:r>
      <w:r w:rsidRPr="00B224DA">
        <w:rPr>
          <w:rFonts w:ascii="Times New Roman" w:hAnsi="Times New Roman"/>
          <w:i/>
          <w:color w:val="auto"/>
          <w:sz w:val="24"/>
          <w:szCs w:val="24"/>
        </w:rPr>
        <w:t xml:space="preserve">row: Gender and parliamentary politics in contemporary </w:t>
      </w:r>
      <w:smartTag w:uri="urn:schemas-microsoft-com:office:smarttags" w:element="place">
        <w:smartTag w:uri="urn:schemas-microsoft-com:office:smarttags" w:element="country-region">
          <w:r w:rsidRPr="00B224DA">
            <w:rPr>
              <w:rFonts w:ascii="Times New Roman" w:hAnsi="Times New Roman"/>
              <w:i/>
              <w:color w:val="auto"/>
              <w:sz w:val="24"/>
              <w:szCs w:val="24"/>
            </w:rPr>
            <w:t>Uganda</w:t>
          </w:r>
        </w:smartTag>
      </w:smartTag>
      <w:r w:rsidRPr="00CA6167">
        <w:rPr>
          <w:rFonts w:ascii="Times New Roman" w:hAnsi="Times New Roman"/>
          <w:color w:val="auto"/>
          <w:sz w:val="24"/>
          <w:szCs w:val="24"/>
        </w:rPr>
        <w:t xml:space="preserve">, Fountain Publishers, 2001  </w:t>
      </w:r>
    </w:p>
    <w:p w:rsidR="009D2E8B" w:rsidRPr="00CA6167" w:rsidRDefault="009D2E8B" w:rsidP="009D2E8B">
      <w:pPr>
        <w:ind w:right="-900"/>
        <w:rPr>
          <w:sz w:val="24"/>
          <w:szCs w:val="24"/>
        </w:rPr>
      </w:pPr>
      <w:r w:rsidRPr="00CA6167">
        <w:rPr>
          <w:sz w:val="24"/>
          <w:szCs w:val="24"/>
        </w:rPr>
        <w:t xml:space="preserve">Lopes C., </w:t>
      </w:r>
      <w:r>
        <w:rPr>
          <w:sz w:val="24"/>
          <w:szCs w:val="24"/>
        </w:rPr>
        <w:t>“</w:t>
      </w:r>
      <w:r w:rsidRPr="00CA6167">
        <w:rPr>
          <w:sz w:val="24"/>
          <w:szCs w:val="24"/>
        </w:rPr>
        <w:t xml:space="preserve">Are Structural Adjustment </w:t>
      </w:r>
      <w:proofErr w:type="spellStart"/>
      <w:r w:rsidRPr="00CA6167">
        <w:rPr>
          <w:sz w:val="24"/>
          <w:szCs w:val="24"/>
        </w:rPr>
        <w:t>Programmes</w:t>
      </w:r>
      <w:proofErr w:type="spellEnd"/>
      <w:r w:rsidRPr="00CA6167">
        <w:rPr>
          <w:sz w:val="24"/>
          <w:szCs w:val="24"/>
        </w:rPr>
        <w:t xml:space="preserve"> an adequate response to Globalization</w:t>
      </w:r>
      <w:r>
        <w:rPr>
          <w:sz w:val="24"/>
          <w:szCs w:val="24"/>
        </w:rPr>
        <w:t>”</w:t>
      </w:r>
      <w:r w:rsidRPr="00CA6167">
        <w:rPr>
          <w:sz w:val="24"/>
          <w:szCs w:val="24"/>
        </w:rPr>
        <w:t xml:space="preserve">, </w:t>
      </w:r>
      <w:r w:rsidRPr="00B224DA">
        <w:rPr>
          <w:i/>
          <w:sz w:val="24"/>
          <w:szCs w:val="24"/>
        </w:rPr>
        <w:t>International Social Science Journal</w:t>
      </w:r>
      <w:r w:rsidRPr="00CA6167">
        <w:rPr>
          <w:sz w:val="24"/>
          <w:szCs w:val="24"/>
        </w:rPr>
        <w:t xml:space="preserve">, Vol.51, No. 162, </w:t>
      </w:r>
      <w:smartTag w:uri="urn:schemas-microsoft-com:office:smarttags" w:element="place">
        <w:smartTag w:uri="urn:schemas-microsoft-com:office:smarttags" w:element="City">
          <w:r w:rsidRPr="00CA6167">
            <w:rPr>
              <w:sz w:val="24"/>
              <w:szCs w:val="24"/>
            </w:rPr>
            <w:t>Oxford</w:t>
          </w:r>
        </w:smartTag>
      </w:smartTag>
      <w:r w:rsidRPr="00CA6167">
        <w:rPr>
          <w:sz w:val="24"/>
          <w:szCs w:val="24"/>
        </w:rPr>
        <w:t>, Blackwell Publishers, 1999</w:t>
      </w:r>
    </w:p>
    <w:p w:rsidR="009D2E8B" w:rsidRPr="00CA6167" w:rsidRDefault="009D2E8B" w:rsidP="009D2E8B">
      <w:pPr>
        <w:ind w:right="-900"/>
        <w:rPr>
          <w:sz w:val="24"/>
          <w:szCs w:val="24"/>
        </w:rPr>
      </w:pPr>
      <w:proofErr w:type="spellStart"/>
      <w:r>
        <w:rPr>
          <w:sz w:val="24"/>
          <w:szCs w:val="24"/>
        </w:rPr>
        <w:t>Mthoni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Wanyeki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)</w:t>
      </w:r>
      <w:r w:rsidRPr="00CA6167">
        <w:rPr>
          <w:sz w:val="24"/>
          <w:szCs w:val="24"/>
        </w:rPr>
        <w:t xml:space="preserve">, </w:t>
      </w:r>
      <w:r w:rsidRPr="00B224DA">
        <w:rPr>
          <w:i/>
          <w:sz w:val="24"/>
          <w:szCs w:val="24"/>
        </w:rPr>
        <w:t>Women  and  Land  In  Af</w:t>
      </w:r>
      <w:r>
        <w:rPr>
          <w:i/>
          <w:sz w:val="24"/>
          <w:szCs w:val="24"/>
        </w:rPr>
        <w:t>rica, Culture</w:t>
      </w:r>
      <w:r w:rsidRPr="00B224DA">
        <w:rPr>
          <w:i/>
          <w:sz w:val="24"/>
          <w:szCs w:val="24"/>
        </w:rPr>
        <w:t>, Religion  and  Realizing  women’s  Rights</w:t>
      </w:r>
      <w:r w:rsidRPr="00CA6167">
        <w:rPr>
          <w:sz w:val="24"/>
          <w:szCs w:val="24"/>
        </w:rPr>
        <w:t>, London , Zed Books Ltd , 2003</w:t>
      </w:r>
    </w:p>
    <w:p w:rsidR="009D2E8B" w:rsidRPr="00CA6167" w:rsidRDefault="009D2E8B" w:rsidP="009D2E8B">
      <w:pPr>
        <w:ind w:right="-900"/>
        <w:rPr>
          <w:sz w:val="24"/>
          <w:szCs w:val="24"/>
        </w:rPr>
      </w:pPr>
      <w:proofErr w:type="spellStart"/>
      <w:r w:rsidRPr="00CA6167">
        <w:rPr>
          <w:sz w:val="24"/>
          <w:szCs w:val="24"/>
        </w:rPr>
        <w:t>Row</w:t>
      </w:r>
      <w:r>
        <w:rPr>
          <w:sz w:val="24"/>
          <w:szCs w:val="24"/>
        </w:rPr>
        <w:t>botham</w:t>
      </w:r>
      <w:proofErr w:type="spellEnd"/>
      <w:r>
        <w:rPr>
          <w:sz w:val="24"/>
          <w:szCs w:val="24"/>
        </w:rPr>
        <w:t xml:space="preserve"> S. and  </w:t>
      </w:r>
      <w:proofErr w:type="spellStart"/>
      <w:r>
        <w:rPr>
          <w:sz w:val="24"/>
          <w:szCs w:val="24"/>
        </w:rPr>
        <w:t>Linkogle</w:t>
      </w:r>
      <w:proofErr w:type="spellEnd"/>
      <w:r>
        <w:rPr>
          <w:sz w:val="24"/>
          <w:szCs w:val="24"/>
        </w:rPr>
        <w:t xml:space="preserve"> S.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)</w:t>
      </w:r>
      <w:r w:rsidRPr="00CA6167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Women  Resist  Globalization</w:t>
      </w:r>
      <w:r w:rsidRPr="00B224DA">
        <w:rPr>
          <w:i/>
          <w:sz w:val="24"/>
          <w:szCs w:val="24"/>
        </w:rPr>
        <w:t>, Mobilizing  for  Livelihood  and  Rights</w:t>
      </w:r>
      <w:r>
        <w:rPr>
          <w:sz w:val="24"/>
          <w:szCs w:val="24"/>
        </w:rPr>
        <w:t>, London,  Zed Books</w:t>
      </w:r>
      <w:r w:rsidRPr="00CA6167">
        <w:rPr>
          <w:sz w:val="24"/>
          <w:szCs w:val="24"/>
        </w:rPr>
        <w:t>,  2001</w:t>
      </w:r>
    </w:p>
    <w:p w:rsidR="009D2E8B" w:rsidRPr="00CA6167" w:rsidRDefault="009D2E8B" w:rsidP="009D2E8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Tripp A.M</w:t>
      </w:r>
      <w:r w:rsidRPr="00CA616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224DA">
        <w:rPr>
          <w:rFonts w:ascii="Times New Roman" w:hAnsi="Times New Roman"/>
          <w:i/>
          <w:color w:val="auto"/>
          <w:sz w:val="24"/>
          <w:szCs w:val="24"/>
        </w:rPr>
        <w:t xml:space="preserve">Women and Politics in </w:t>
      </w:r>
      <w:smartTag w:uri="urn:schemas-microsoft-com:office:smarttags" w:element="country-region">
        <w:r w:rsidRPr="00B224DA">
          <w:rPr>
            <w:rFonts w:ascii="Times New Roman" w:hAnsi="Times New Roman"/>
            <w:i/>
            <w:color w:val="auto"/>
            <w:sz w:val="24"/>
            <w:szCs w:val="24"/>
          </w:rPr>
          <w:t>Uganda</w:t>
        </w:r>
      </w:smartTag>
      <w:r w:rsidRPr="00CA6167">
        <w:rPr>
          <w:rFonts w:ascii="Times New Roman" w:hAnsi="Times New Roman"/>
          <w:color w:val="auto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6167">
            <w:rPr>
              <w:rFonts w:ascii="Times New Roman" w:hAnsi="Times New Roman"/>
              <w:color w:val="auto"/>
              <w:sz w:val="24"/>
              <w:szCs w:val="24"/>
            </w:rPr>
            <w:t>Oxford</w:t>
          </w:r>
        </w:smartTag>
      </w:smartTag>
      <w:r w:rsidRPr="00CA6167">
        <w:rPr>
          <w:rFonts w:ascii="Times New Roman" w:hAnsi="Times New Roman"/>
          <w:color w:val="auto"/>
          <w:sz w:val="24"/>
          <w:szCs w:val="24"/>
        </w:rPr>
        <w:t xml:space="preserve">, James </w:t>
      </w:r>
      <w:proofErr w:type="spellStart"/>
      <w:r w:rsidRPr="00CA6167">
        <w:rPr>
          <w:rFonts w:ascii="Times New Roman" w:hAnsi="Times New Roman"/>
          <w:color w:val="auto"/>
          <w:sz w:val="24"/>
          <w:szCs w:val="24"/>
        </w:rPr>
        <w:t>Currey</w:t>
      </w:r>
      <w:proofErr w:type="spellEnd"/>
      <w:r w:rsidRPr="00CA6167">
        <w:rPr>
          <w:rFonts w:ascii="Times New Roman" w:hAnsi="Times New Roman"/>
          <w:color w:val="auto"/>
          <w:sz w:val="24"/>
          <w:szCs w:val="24"/>
        </w:rPr>
        <w:t>, 2000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B21A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94"/>
    <w:multiLevelType w:val="hybridMultilevel"/>
    <w:tmpl w:val="271E1D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F76E62"/>
    <w:multiLevelType w:val="hybridMultilevel"/>
    <w:tmpl w:val="EEFCF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B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549EC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9D2E8B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2E8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hang">
    <w:name w:val="hang"/>
    <w:basedOn w:val="Normal"/>
    <w:rsid w:val="009D2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2E8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hang">
    <w:name w:val="hang"/>
    <w:basedOn w:val="Normal"/>
    <w:rsid w:val="009D2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2011-07-25T20:38:00Z</dcterms:created>
  <dcterms:modified xsi:type="dcterms:W3CDTF">2014-06-19T22:09:00Z</dcterms:modified>
</cp:coreProperties>
</file>