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6" w:rsidRPr="000762D5" w:rsidRDefault="00A33DE6" w:rsidP="00A33DE6">
      <w:pPr>
        <w:pStyle w:val="BodyText2"/>
        <w:spacing w:line="240" w:lineRule="auto"/>
      </w:pPr>
      <w:r>
        <w:rPr>
          <w:b/>
        </w:rPr>
        <w:t xml:space="preserve">FOM 1212 </w:t>
      </w:r>
      <w:r w:rsidRPr="00B07548">
        <w:rPr>
          <w:b/>
        </w:rPr>
        <w:t>DIGESTION, NUTRITION AND METABOLISM</w:t>
      </w:r>
      <w:r w:rsidRPr="000762D5">
        <w:tab/>
        <w:t>5 weeks</w:t>
      </w:r>
    </w:p>
    <w:p w:rsidR="00A33DE6" w:rsidRPr="00464E57" w:rsidRDefault="00A33DE6" w:rsidP="00A33DE6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description</w:t>
      </w:r>
    </w:p>
    <w:p w:rsidR="00A33DE6" w:rsidRPr="000762D5" w:rsidRDefault="00A33DE6" w:rsidP="00A33DE6">
      <w:pPr>
        <w:pStyle w:val="BodyText2"/>
        <w:spacing w:line="240" w:lineRule="auto"/>
        <w:ind w:left="360" w:hanging="360"/>
        <w:rPr>
          <w:b/>
        </w:rPr>
      </w:pPr>
      <w:r w:rsidRPr="00464E57">
        <w:t xml:space="preserve">This course covers the </w:t>
      </w:r>
      <w:r>
        <w:t xml:space="preserve">anatomy and normal functioning of the digestive system. The </w:t>
      </w:r>
      <w:proofErr w:type="gramStart"/>
      <w:r>
        <w:t>course also cover</w:t>
      </w:r>
      <w:proofErr w:type="gramEnd"/>
      <w:r>
        <w:t xml:space="preserve"> the metabolism of the different classes of foods.  The course involves tutorials, lectures, seminars and practical sessions</w:t>
      </w:r>
    </w:p>
    <w:p w:rsidR="00A33DE6" w:rsidRPr="00B07548" w:rsidRDefault="00A33DE6" w:rsidP="00A33DE6">
      <w:pPr>
        <w:pStyle w:val="Heading4"/>
        <w:rPr>
          <w:color w:val="000000"/>
          <w:sz w:val="24"/>
          <w:szCs w:val="24"/>
        </w:rPr>
      </w:pPr>
      <w:r w:rsidRPr="00B07548">
        <w:rPr>
          <w:color w:val="000000"/>
          <w:sz w:val="24"/>
          <w:szCs w:val="24"/>
          <w:u w:val="single"/>
        </w:rPr>
        <w:t>Course Objectives</w:t>
      </w:r>
      <w:r w:rsidRPr="00B07548">
        <w:rPr>
          <w:color w:val="000000"/>
          <w:sz w:val="24"/>
          <w:szCs w:val="24"/>
        </w:rPr>
        <w:t>:</w:t>
      </w:r>
    </w:p>
    <w:p w:rsidR="00A33DE6" w:rsidRPr="000762D5" w:rsidRDefault="00A33DE6" w:rsidP="00A33DE6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</w:pPr>
      <w:r w:rsidRPr="000762D5">
        <w:t xml:space="preserve">To describe the anatomy and function of the GIT </w:t>
      </w:r>
    </w:p>
    <w:p w:rsidR="00A33DE6" w:rsidRPr="000762D5" w:rsidRDefault="00A33DE6" w:rsidP="00A33DE6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</w:pPr>
      <w:r w:rsidRPr="000762D5">
        <w:t>To describe the metabolism of biomolecules in the cell</w:t>
      </w:r>
    </w:p>
    <w:p w:rsidR="00A33DE6" w:rsidRPr="000762D5" w:rsidRDefault="00A33DE6" w:rsidP="00A33DE6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</w:pPr>
      <w:r w:rsidRPr="000762D5">
        <w:t>To state the major nutrients, their sources and importance in the human body</w:t>
      </w:r>
    </w:p>
    <w:p w:rsidR="00A33DE6" w:rsidRPr="000762D5" w:rsidRDefault="00A33DE6" w:rsidP="00A33DE6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</w:pPr>
      <w:r w:rsidRPr="000762D5">
        <w:t>To describe the functions and optional maintenance of the major nutrients</w:t>
      </w:r>
    </w:p>
    <w:p w:rsidR="00A33DE6" w:rsidRPr="000762D5" w:rsidRDefault="00A33DE6" w:rsidP="00A33DE6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</w:pPr>
      <w:r w:rsidRPr="000762D5">
        <w:t xml:space="preserve">To describe the role of the relevant laboratory investigations  </w:t>
      </w:r>
    </w:p>
    <w:p w:rsidR="00A33DE6" w:rsidRPr="000762D5" w:rsidRDefault="00A33DE6" w:rsidP="00A33DE6">
      <w:pPr>
        <w:jc w:val="both"/>
        <w:rPr>
          <w:u w:val="single"/>
        </w:rPr>
      </w:pPr>
    </w:p>
    <w:p w:rsidR="00A33DE6" w:rsidRDefault="00A33DE6" w:rsidP="00A33DE6">
      <w:pPr>
        <w:jc w:val="both"/>
        <w:rPr>
          <w:b/>
        </w:rPr>
      </w:pPr>
      <w:r w:rsidRPr="00B07548">
        <w:rPr>
          <w:b/>
          <w:u w:val="single"/>
        </w:rPr>
        <w:t>Content outline</w:t>
      </w:r>
      <w:r w:rsidRPr="00B07548">
        <w:rPr>
          <w:b/>
        </w:rPr>
        <w:t>:</w:t>
      </w:r>
      <w:r>
        <w:rPr>
          <w:b/>
        </w:rPr>
        <w:t xml:space="preserve"> </w:t>
      </w:r>
    </w:p>
    <w:p w:rsidR="00A33DE6" w:rsidRPr="00CC1699" w:rsidRDefault="00A33DE6" w:rsidP="00A33DE6">
      <w:pPr>
        <w:jc w:val="both"/>
        <w:rPr>
          <w:bCs/>
        </w:rPr>
      </w:pPr>
      <w:r>
        <w:rPr>
          <w:b/>
          <w:bCs/>
        </w:rPr>
        <w:t xml:space="preserve"> </w:t>
      </w:r>
      <w:r w:rsidRPr="00CC1699">
        <w:rPr>
          <w:color w:val="000000"/>
        </w:rPr>
        <w:t xml:space="preserve">Embryology and histology of GIT, </w:t>
      </w:r>
      <w:r w:rsidRPr="00CC1699">
        <w:t xml:space="preserve">Gross Anatomy of the GIT, the Oral cavity, Pharynx, Oesophagus, Stomach, Duodenum, jejunum and Ileum (small intestine), Colon, Rectum and anal canal.  Functional Anatomy of associated organs; Liver and Biliary system, Gall bladder, </w:t>
      </w:r>
      <w:r w:rsidRPr="00CC1699">
        <w:rPr>
          <w:bCs/>
        </w:rPr>
        <w:t>Pancreas</w:t>
      </w:r>
      <w:r w:rsidRPr="00CC1699">
        <w:rPr>
          <w:bCs/>
        </w:rPr>
        <w:tab/>
      </w:r>
    </w:p>
    <w:p w:rsidR="00A33DE6" w:rsidRPr="00CC1699" w:rsidRDefault="00A33DE6" w:rsidP="00A33DE6">
      <w:pPr>
        <w:pStyle w:val="Heading1"/>
        <w:ind w:hanging="5760"/>
        <w:rPr>
          <w:b w:val="0"/>
        </w:rPr>
      </w:pPr>
      <w:r w:rsidRPr="00CC1699">
        <w:rPr>
          <w:b w:val="0"/>
        </w:rPr>
        <w:t>2. Nutrition</w:t>
      </w:r>
    </w:p>
    <w:p w:rsidR="00A33DE6" w:rsidRPr="001B3268" w:rsidRDefault="00A33DE6" w:rsidP="00A33DE6">
      <w:r w:rsidRPr="00CC1699">
        <w:t xml:space="preserve"> </w:t>
      </w:r>
      <w:r w:rsidRPr="001B3268">
        <w:t xml:space="preserve">Nutrition; Proteins, Carbohydrates, Lipids, Micronutrients, Vitamins, Minerals/Electrolytes (Fe2+, Ca2+, Zinc, Na+, k+, </w:t>
      </w:r>
      <w:proofErr w:type="spellStart"/>
      <w:r w:rsidRPr="001B3268">
        <w:t>Cl</w:t>
      </w:r>
      <w:proofErr w:type="spellEnd"/>
      <w:r w:rsidRPr="001B3268">
        <w:t xml:space="preserve">-, phosphates),  Energy and Nitrogen balance, Dietary standards, food and food consumption, Techniques for assessing human nutritional status  </w:t>
      </w:r>
    </w:p>
    <w:p w:rsidR="00A33DE6" w:rsidRPr="001B3268" w:rsidRDefault="00A33DE6" w:rsidP="00A33DE6">
      <w:r w:rsidRPr="001B3268">
        <w:rPr>
          <w:bCs/>
        </w:rPr>
        <w:t xml:space="preserve">Physiology; </w:t>
      </w:r>
      <w:r w:rsidRPr="001B3268">
        <w:t xml:space="preserve">Gastro intestinal hormones, Chewing and swallowing, </w:t>
      </w:r>
      <w:r w:rsidRPr="001B3268">
        <w:tab/>
      </w:r>
    </w:p>
    <w:p w:rsidR="00A33DE6" w:rsidRPr="001B3268" w:rsidRDefault="00A33DE6" w:rsidP="00A33DE6">
      <w:pPr>
        <w:suppressAutoHyphens w:val="0"/>
        <w:ind w:left="360"/>
      </w:pPr>
      <w:proofErr w:type="gramStart"/>
      <w:r w:rsidRPr="001B3268">
        <w:t xml:space="preserve">Movements of the stomach, gastric emptying and </w:t>
      </w:r>
      <w:proofErr w:type="spellStart"/>
      <w:r w:rsidRPr="001B3268">
        <w:t>anti peristaltic</w:t>
      </w:r>
      <w:proofErr w:type="spellEnd"/>
      <w:r w:rsidRPr="001B3268">
        <w:t xml:space="preserve"> movement, Movements of small intestine, Movement of large intestine, Defecation and passage of flatus.</w:t>
      </w:r>
      <w:proofErr w:type="gramEnd"/>
      <w:r w:rsidRPr="001B3268">
        <w:t xml:space="preserve"> </w:t>
      </w:r>
    </w:p>
    <w:p w:rsidR="00A33DE6" w:rsidRPr="001B3268" w:rsidRDefault="00A33DE6" w:rsidP="00A33DE6">
      <w:pPr>
        <w:suppressAutoHyphens w:val="0"/>
        <w:ind w:left="360"/>
      </w:pPr>
      <w:r w:rsidRPr="001B3268">
        <w:t xml:space="preserve">Biochemistry; Carbohydrates metabolism, </w:t>
      </w:r>
      <w:r w:rsidRPr="001B3268">
        <w:tab/>
      </w:r>
      <w:r w:rsidRPr="001B3268">
        <w:tab/>
      </w:r>
      <w:r w:rsidRPr="001B3268">
        <w:tab/>
      </w:r>
      <w:r w:rsidRPr="001B3268">
        <w:tab/>
      </w:r>
      <w:r w:rsidRPr="001B3268">
        <w:tab/>
      </w:r>
    </w:p>
    <w:p w:rsidR="00A33DE6" w:rsidRPr="001B3268" w:rsidRDefault="00A33DE6" w:rsidP="00A33DE6">
      <w:pPr>
        <w:pStyle w:val="Footer"/>
        <w:tabs>
          <w:tab w:val="clear" w:pos="4320"/>
          <w:tab w:val="clear" w:pos="8640"/>
        </w:tabs>
        <w:spacing w:after="120"/>
      </w:pPr>
      <w:proofErr w:type="gramStart"/>
      <w:r w:rsidRPr="001B3268">
        <w:t>Control of glycogen metabolism.</w:t>
      </w:r>
      <w:proofErr w:type="gramEnd"/>
      <w:r w:rsidRPr="001B3268">
        <w:t xml:space="preserve"> Glycogen storage disease, </w:t>
      </w:r>
      <w:r w:rsidRPr="001B3268">
        <w:rPr>
          <w:bCs/>
        </w:rPr>
        <w:t xml:space="preserve">Lipid metabolism, Oxidation of fatty acids, Fatty acid biosynthesis, Regulation of fatty acid synthesis and breakdown, </w:t>
      </w:r>
      <w:r w:rsidRPr="001B3268">
        <w:t xml:space="preserve">Diseases associated with lipid metabolism, Protein metabolism, Amino acid synthesis. </w:t>
      </w:r>
    </w:p>
    <w:p w:rsidR="00A33DE6" w:rsidRPr="001B3268" w:rsidRDefault="00A33DE6" w:rsidP="00A33DE6">
      <w:r w:rsidRPr="001B3268">
        <w:t>Thermodynamics - energy conservation and transformation.</w:t>
      </w:r>
    </w:p>
    <w:p w:rsidR="00A33DE6" w:rsidRPr="001B3268" w:rsidRDefault="00A33DE6" w:rsidP="00A33DE6">
      <w:pPr>
        <w:pStyle w:val="Heading4"/>
        <w:rPr>
          <w:color w:val="000000"/>
          <w:sz w:val="24"/>
          <w:szCs w:val="24"/>
          <w:u w:val="single"/>
        </w:rPr>
      </w:pPr>
      <w:r w:rsidRPr="001B3268">
        <w:rPr>
          <w:color w:val="000000"/>
          <w:sz w:val="24"/>
          <w:szCs w:val="24"/>
          <w:u w:val="single"/>
        </w:rPr>
        <w:t>Requirements:</w:t>
      </w:r>
    </w:p>
    <w:p w:rsidR="00A33DE6" w:rsidRPr="001B3268" w:rsidRDefault="00A33DE6" w:rsidP="00A33DE6">
      <w:pPr>
        <w:pStyle w:val="BodyText2"/>
        <w:spacing w:line="240" w:lineRule="auto"/>
        <w:rPr>
          <w:b/>
          <w:bCs/>
        </w:rPr>
      </w:pPr>
      <w:r w:rsidRPr="001B3268">
        <w:rPr>
          <w:b/>
          <w:bCs/>
        </w:rPr>
        <w:t>5 weeks, 75 CH</w:t>
      </w:r>
    </w:p>
    <w:p w:rsidR="00A33DE6" w:rsidRPr="001B3268" w:rsidRDefault="00A33DE6" w:rsidP="00A33DE6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A33DE6" w:rsidRPr="001B3268" w:rsidRDefault="00A33DE6" w:rsidP="00A33DE6">
      <w:pPr>
        <w:jc w:val="both"/>
      </w:pPr>
      <w:r w:rsidRPr="001B3268">
        <w:t>Progressive assessment 40%</w:t>
      </w:r>
    </w:p>
    <w:p w:rsidR="00A33DE6" w:rsidRPr="001B3268" w:rsidRDefault="00A33DE6" w:rsidP="00A33DE6">
      <w:pPr>
        <w:jc w:val="both"/>
      </w:pPr>
      <w:r w:rsidRPr="001B3268">
        <w:t>Written summative examination 40%</w:t>
      </w:r>
    </w:p>
    <w:p w:rsidR="00A33DE6" w:rsidRPr="001B3268" w:rsidRDefault="00A33DE6" w:rsidP="00A33DE6">
      <w:pPr>
        <w:jc w:val="both"/>
      </w:pPr>
      <w:r w:rsidRPr="001B3268">
        <w:t>Practical examination 20%</w:t>
      </w:r>
    </w:p>
    <w:p w:rsidR="00A33DE6" w:rsidRPr="001B3268" w:rsidRDefault="00A33DE6" w:rsidP="00A33DE6">
      <w:pPr>
        <w:jc w:val="both"/>
      </w:pPr>
    </w:p>
    <w:p w:rsidR="00A33DE6" w:rsidRPr="001B3268" w:rsidRDefault="00A33DE6" w:rsidP="00A33DE6">
      <w:pPr>
        <w:jc w:val="both"/>
        <w:rPr>
          <w:b/>
          <w:u w:val="single"/>
        </w:rPr>
      </w:pPr>
      <w:r w:rsidRPr="001B3268">
        <w:rPr>
          <w:b/>
          <w:u w:val="single"/>
        </w:rPr>
        <w:t>Course coordinator</w:t>
      </w:r>
    </w:p>
    <w:p w:rsidR="00A33DE6" w:rsidRPr="001B3268" w:rsidRDefault="00A33DE6" w:rsidP="00A33DE6">
      <w:pPr>
        <w:jc w:val="both"/>
        <w:rPr>
          <w:b/>
          <w:bCs/>
        </w:rPr>
      </w:pPr>
    </w:p>
    <w:p w:rsidR="00A33DE6" w:rsidRPr="001B3268" w:rsidRDefault="00A33DE6" w:rsidP="00A33DE6">
      <w:pPr>
        <w:jc w:val="both"/>
      </w:pPr>
      <w:proofErr w:type="spellStart"/>
      <w:r w:rsidRPr="001B3268">
        <w:rPr>
          <w:bCs/>
        </w:rPr>
        <w:t>Dr.</w:t>
      </w:r>
      <w:proofErr w:type="spellEnd"/>
      <w:r w:rsidRPr="001B3268">
        <w:rPr>
          <w:bCs/>
        </w:rPr>
        <w:t xml:space="preserve"> Joel </w:t>
      </w:r>
      <w:proofErr w:type="spellStart"/>
      <w:r w:rsidRPr="001B3268">
        <w:rPr>
          <w:bCs/>
        </w:rPr>
        <w:t>Okullo</w:t>
      </w:r>
      <w:proofErr w:type="spellEnd"/>
      <w:r w:rsidRPr="001B3268">
        <w:rPr>
          <w:bCs/>
        </w:rPr>
        <w:t xml:space="preserve"> </w:t>
      </w:r>
      <w:proofErr w:type="spellStart"/>
      <w:r w:rsidRPr="001B3268">
        <w:rPr>
          <w:bCs/>
        </w:rPr>
        <w:t>MBChB</w:t>
      </w:r>
      <w:proofErr w:type="spellEnd"/>
      <w:r w:rsidRPr="001B3268">
        <w:rPr>
          <w:bCs/>
        </w:rPr>
        <w:t xml:space="preserve">, MSc (MUK) </w:t>
      </w:r>
    </w:p>
    <w:p w:rsidR="00A33DE6" w:rsidRPr="000762D5" w:rsidRDefault="00A33DE6" w:rsidP="00A33DE6">
      <w:pPr>
        <w:jc w:val="both"/>
        <w:rPr>
          <w:b/>
        </w:rPr>
      </w:pPr>
    </w:p>
    <w:p w:rsidR="00A33DE6" w:rsidRPr="00A771F9" w:rsidRDefault="00A33DE6" w:rsidP="00A33DE6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A771F9">
            <w:rPr>
              <w:b/>
              <w:u w:val="single"/>
            </w:rPr>
            <w:t>Reading</w:t>
          </w:r>
        </w:smartTag>
      </w:smartTag>
      <w:r w:rsidRPr="00A771F9">
        <w:rPr>
          <w:b/>
          <w:u w:val="single"/>
        </w:rPr>
        <w:t xml:space="preserve"> materials</w:t>
      </w:r>
    </w:p>
    <w:p w:rsidR="00A33DE6" w:rsidRPr="00A771F9" w:rsidRDefault="00A33DE6" w:rsidP="00A33DE6">
      <w:pPr>
        <w:outlineLvl w:val="0"/>
      </w:pPr>
      <w:r w:rsidRPr="00023CF9">
        <w:t>1</w:t>
      </w:r>
      <w:r w:rsidRPr="00A771F9">
        <w:t xml:space="preserve">. </w:t>
      </w:r>
      <w:hyperlink r:id="rId6" w:history="1">
        <w:r w:rsidRPr="00A771F9">
          <w:rPr>
            <w:rStyle w:val="Hyperlink"/>
            <w:rFonts w:eastAsia="StarSymbol"/>
          </w:rPr>
          <w:t xml:space="preserve">Medical embryology: human development, normal and abnormal / Jan </w:t>
        </w:r>
        <w:proofErr w:type="spellStart"/>
        <w:proofErr w:type="gramStart"/>
        <w:r w:rsidRPr="00A771F9">
          <w:rPr>
            <w:rStyle w:val="Hyperlink"/>
            <w:rFonts w:eastAsia="StarSymbol"/>
          </w:rPr>
          <w:t>Langman</w:t>
        </w:r>
        <w:proofErr w:type="spellEnd"/>
        <w:r w:rsidRPr="00A771F9">
          <w:rPr>
            <w:rStyle w:val="Hyperlink"/>
            <w:rFonts w:eastAsia="StarSymbol"/>
          </w:rPr>
          <w:t xml:space="preserve"> ;</w:t>
        </w:r>
        <w:proofErr w:type="gramEnd"/>
        <w:r w:rsidRPr="00A771F9">
          <w:rPr>
            <w:rStyle w:val="Hyperlink"/>
            <w:rFonts w:eastAsia="StarSymbol"/>
          </w:rPr>
          <w:t xml:space="preserve"> illustrations by Jill Leland</w:t>
        </w:r>
      </w:hyperlink>
    </w:p>
    <w:p w:rsidR="00A33DE6" w:rsidRPr="00A771F9" w:rsidRDefault="00A33DE6" w:rsidP="00A33DE6">
      <w:r w:rsidRPr="00A771F9">
        <w:lastRenderedPageBreak/>
        <w:t xml:space="preserve">2. </w:t>
      </w:r>
      <w:hyperlink r:id="rId7" w:history="1">
        <w:r w:rsidRPr="00A771F9">
          <w:rPr>
            <w:rStyle w:val="Hyperlink"/>
            <w:rFonts w:eastAsia="StarSymbol"/>
          </w:rPr>
          <w:t>Textbook of medical physiology</w:t>
        </w:r>
      </w:hyperlink>
      <w:r w:rsidRPr="00A771F9">
        <w:t xml:space="preserve">, </w:t>
      </w:r>
      <w:hyperlink r:id="rId8" w:history="1">
        <w:r w:rsidRPr="00A771F9">
          <w:rPr>
            <w:rStyle w:val="Hyperlink"/>
            <w:rFonts w:eastAsia="StarSymbol"/>
          </w:rPr>
          <w:t>Philadelphia: Saunders, 2000</w:t>
        </w:r>
      </w:hyperlink>
    </w:p>
    <w:p w:rsidR="00A33DE6" w:rsidRPr="00A771F9" w:rsidRDefault="00A33DE6" w:rsidP="00A33DE6">
      <w:r w:rsidRPr="00A771F9">
        <w:t xml:space="preserve">3.  </w:t>
      </w:r>
      <w:hyperlink r:id="rId9" w:history="1">
        <w:r w:rsidRPr="00A771F9">
          <w:rPr>
            <w:rStyle w:val="Hyperlink"/>
            <w:rFonts w:eastAsia="StarSymbol"/>
          </w:rPr>
          <w:t xml:space="preserve">Clinical </w:t>
        </w:r>
        <w:r w:rsidRPr="00A771F9">
          <w:rPr>
            <w:rStyle w:val="highlight0"/>
          </w:rPr>
          <w:t>anatomy</w:t>
        </w:r>
        <w:r w:rsidRPr="00A771F9">
          <w:rPr>
            <w:rStyle w:val="Hyperlink"/>
            <w:rFonts w:eastAsia="StarSymbol"/>
          </w:rPr>
          <w:t xml:space="preserve"> for medical students/</w:t>
        </w:r>
        <w:proofErr w:type="spellStart"/>
      </w:hyperlink>
      <w:hyperlink r:id="rId10" w:history="1">
        <w:r w:rsidRPr="00A771F9">
          <w:rPr>
            <w:rStyle w:val="Hyperlink"/>
            <w:rFonts w:eastAsia="StarSymbol"/>
          </w:rPr>
          <w:t>Phildelphia</w:t>
        </w:r>
        <w:proofErr w:type="spellEnd"/>
        <w:r w:rsidRPr="00A771F9">
          <w:rPr>
            <w:rStyle w:val="Hyperlink"/>
            <w:rFonts w:eastAsia="StarSymbol"/>
          </w:rPr>
          <w:t>: Lippincott Williams and Wilkins, 2000</w:t>
        </w:r>
      </w:hyperlink>
    </w:p>
    <w:p w:rsidR="00A33DE6" w:rsidRPr="00A771F9" w:rsidRDefault="00A33DE6" w:rsidP="00A33DE6">
      <w:r w:rsidRPr="00A771F9">
        <w:t xml:space="preserve">4. </w:t>
      </w:r>
      <w:hyperlink r:id="rId11" w:history="1">
        <w:r w:rsidRPr="00A771F9">
          <w:rPr>
            <w:rStyle w:val="Hyperlink"/>
            <w:rFonts w:eastAsia="StarSymbol"/>
          </w:rPr>
          <w:t xml:space="preserve">Gross </w:t>
        </w:r>
        <w:r w:rsidRPr="00A771F9">
          <w:rPr>
            <w:rStyle w:val="highlight0"/>
          </w:rPr>
          <w:t>anatomy</w:t>
        </w:r>
        <w:r w:rsidRPr="00A771F9">
          <w:rPr>
            <w:rStyle w:val="Hyperlink"/>
            <w:rFonts w:eastAsia="StarSymbol"/>
          </w:rPr>
          <w:t>/</w:t>
        </w:r>
      </w:hyperlink>
      <w:hyperlink r:id="rId12" w:history="1">
        <w:r w:rsidRPr="00A771F9">
          <w:rPr>
            <w:rStyle w:val="Hyperlink"/>
            <w:rFonts w:eastAsia="StarSymbol"/>
          </w:rPr>
          <w:t>Baltimore: Williams and Wilkins , 1995</w:t>
        </w:r>
      </w:hyperlink>
    </w:p>
    <w:p w:rsidR="00A33DE6" w:rsidRPr="00A771F9" w:rsidRDefault="00A33DE6" w:rsidP="00A33DE6">
      <w:r w:rsidRPr="00A771F9">
        <w:t xml:space="preserve">5.  </w:t>
      </w:r>
      <w:hyperlink r:id="rId13" w:history="1">
        <w:r w:rsidRPr="00A771F9">
          <w:rPr>
            <w:rStyle w:val="Hyperlink"/>
            <w:rFonts w:eastAsia="StarSymbol"/>
          </w:rPr>
          <w:t xml:space="preserve">Harper's </w:t>
        </w:r>
        <w:r w:rsidRPr="00A771F9">
          <w:rPr>
            <w:rStyle w:val="highlight1"/>
          </w:rPr>
          <w:t>biochemistry</w:t>
        </w:r>
        <w:r w:rsidRPr="00A771F9">
          <w:rPr>
            <w:rStyle w:val="Hyperlink"/>
            <w:rFonts w:eastAsia="StarSymbol"/>
          </w:rPr>
          <w:t>/</w:t>
        </w:r>
      </w:hyperlink>
      <w:hyperlink r:id="rId14" w:history="1">
        <w:r w:rsidRPr="00A771F9">
          <w:rPr>
            <w:rStyle w:val="Hyperlink"/>
            <w:rFonts w:eastAsia="StarSymbol"/>
          </w:rPr>
          <w:t xml:space="preserve">New York : </w:t>
        </w:r>
        <w:proofErr w:type="spellStart"/>
        <w:r w:rsidRPr="00A771F9">
          <w:rPr>
            <w:rStyle w:val="Hyperlink"/>
            <w:rFonts w:eastAsia="StarSymbol"/>
          </w:rPr>
          <w:t>McGraw-hill</w:t>
        </w:r>
        <w:proofErr w:type="spellEnd"/>
        <w:r w:rsidRPr="00A771F9">
          <w:rPr>
            <w:rStyle w:val="Hyperlink"/>
            <w:rFonts w:eastAsia="StarSymbol"/>
          </w:rPr>
          <w:t xml:space="preserve"> , 2000</w:t>
        </w:r>
      </w:hyperlink>
    </w:p>
    <w:p w:rsidR="00A33DE6" w:rsidRDefault="00A33DE6" w:rsidP="00A33DE6">
      <w:pPr>
        <w:pStyle w:val="BodyText2"/>
        <w:spacing w:line="240" w:lineRule="auto"/>
        <w:rPr>
          <w:b/>
          <w:bCs/>
        </w:rPr>
      </w:pPr>
    </w:p>
    <w:p w:rsidR="003B545E" w:rsidRDefault="00A33DE6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3487"/>
    <w:multiLevelType w:val="hybridMultilevel"/>
    <w:tmpl w:val="969C8460"/>
    <w:lvl w:ilvl="0" w:tplc="1ED4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6"/>
    <w:rsid w:val="00050608"/>
    <w:rsid w:val="001668D8"/>
    <w:rsid w:val="001C3396"/>
    <w:rsid w:val="001F160E"/>
    <w:rsid w:val="00745640"/>
    <w:rsid w:val="008F7FC7"/>
    <w:rsid w:val="00A33DE6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33DE6"/>
    <w:pPr>
      <w:keepNext/>
      <w:ind w:left="36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33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DE6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A33DE6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Footer">
    <w:name w:val="footer"/>
    <w:basedOn w:val="Normal"/>
    <w:link w:val="FooterChar"/>
    <w:rsid w:val="00A33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D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A33D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3D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33DE6"/>
    <w:rPr>
      <w:color w:val="0000FF"/>
      <w:u w:val="single"/>
    </w:rPr>
  </w:style>
  <w:style w:type="character" w:customStyle="1" w:styleId="highlight0">
    <w:name w:val="highlight0"/>
    <w:basedOn w:val="DefaultParagraphFont"/>
    <w:rsid w:val="00A33DE6"/>
  </w:style>
  <w:style w:type="character" w:customStyle="1" w:styleId="highlight1">
    <w:name w:val="highlight1"/>
    <w:basedOn w:val="DefaultParagraphFont"/>
    <w:rsid w:val="00A3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33DE6"/>
    <w:pPr>
      <w:keepNext/>
      <w:ind w:left="36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33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DE6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A33DE6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Footer">
    <w:name w:val="footer"/>
    <w:basedOn w:val="Normal"/>
    <w:link w:val="FooterChar"/>
    <w:rsid w:val="00A33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3D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A33D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3D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33DE6"/>
    <w:rPr>
      <w:color w:val="0000FF"/>
      <w:u w:val="single"/>
    </w:rPr>
  </w:style>
  <w:style w:type="character" w:customStyle="1" w:styleId="highlight0">
    <w:name w:val="highlight0"/>
    <w:basedOn w:val="DefaultParagraphFont"/>
    <w:rsid w:val="00A33DE6"/>
  </w:style>
  <w:style w:type="character" w:customStyle="1" w:styleId="highlight1">
    <w:name w:val="highlight1"/>
    <w:basedOn w:val="DefaultParagraphFont"/>
    <w:rsid w:val="00A3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Philadelphia%20%3a%20Saunders,%20c2000.&amp;pos=1&amp;prevpos=1&amp;beginsrch=1" TargetMode="External"/><Relationship Id="rId13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Harper%27s%20biochemistry%2f&amp;pos=1&amp;prevpos=1&amp;beginsrch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1.199.17.5:8000/cgi-bin/gw_42_20a/chameleon?host=81.199.17.5%2b1111%2bDEFAULT&amp;search=KEYWORD&amp;function=INITREQ&amp;SourceScreen=INITREQ&amp;sessionid=2006101717302405175&amp;skin=default&amp;conf=.%2fchameleon.conf&amp;lng=en&amp;itemu1=2000&amp;scant1=Textbook%20of%20medical%20physiology%20%2f&amp;scanu1=4&amp;u1=2000&amp;t1=@23812&amp;pos=1&amp;prevpos=1&amp;" TargetMode="External"/><Relationship Id="rId12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Baltimore%20%3a%20Williams%20and%20Wilkins%20,%201995&amp;pos=1&amp;prevpos=51&amp;beginsrch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81.199.17.5:8000/cgi-bin/gw_42_20a/chameleon?host=81.199.17.5%2b1111%2bDEFAULT&amp;search=KEYWORD&amp;function=INITREQ&amp;SourceScreen=INITREQ&amp;sessionid=2006101809571219106&amp;skin=default&amp;conf=.%2fchameleon.conf&amp;lng=en&amp;itemu1=2000&amp;scant1=Medical%20Embryology&amp;scanu1=4&amp;u1=2000&amp;t1=@442515&amp;pos=1&amp;prevpos=1&amp;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Gross%20anatomy%2f&amp;pos=1&amp;prevpos=51&amp;beginsrch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Phildelphia%3a%20Lippincott%20Williams%20and%20Wilkins,%202000&amp;pos=1&amp;prevpos=41&amp;beginsrc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Clinical%20anatomy%20for%20medical%20students%2f&amp;pos=1&amp;prevpos=41&amp;beginsrch=1" TargetMode="External"/><Relationship Id="rId14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McGraw-hill%20,%202000.&amp;pos=1&amp;prevpos=1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2011-07-13T21:46:00Z</dcterms:created>
  <dcterms:modified xsi:type="dcterms:W3CDTF">2011-07-13T21:47:00Z</dcterms:modified>
</cp:coreProperties>
</file>