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4A" w:rsidRPr="007921F0" w:rsidRDefault="00DE124A" w:rsidP="00DE124A">
      <w:pPr>
        <w:shd w:val="clear" w:color="auto" w:fill="FFFFFF"/>
        <w:jc w:val="both"/>
        <w:rPr>
          <w:rFonts w:ascii="Arial" w:hAnsi="Arial" w:cs="Arial"/>
          <w:b/>
        </w:rPr>
      </w:pPr>
      <w:r w:rsidRPr="007921F0">
        <w:rPr>
          <w:rFonts w:ascii="Arial" w:hAnsi="Arial" w:cs="Arial"/>
          <w:b/>
        </w:rPr>
        <w:t>COURSE TITLE:</w:t>
      </w:r>
      <w:r w:rsidRPr="007921F0">
        <w:rPr>
          <w:rFonts w:ascii="Arial" w:hAnsi="Arial" w:cs="Arial"/>
          <w:b/>
        </w:rPr>
        <w:tab/>
        <w:t>ADVANCED WATERCOLOUR PAINTING II</w:t>
      </w:r>
    </w:p>
    <w:p w:rsidR="00DE124A" w:rsidRPr="007921F0" w:rsidRDefault="00DE124A" w:rsidP="00DE124A">
      <w:pPr>
        <w:shd w:val="clear" w:color="auto" w:fill="FFFFFF"/>
        <w:jc w:val="both"/>
        <w:rPr>
          <w:rFonts w:ascii="Arial" w:hAnsi="Arial" w:cs="Arial"/>
          <w:b/>
        </w:rPr>
      </w:pPr>
      <w:r w:rsidRPr="007921F0">
        <w:rPr>
          <w:rFonts w:ascii="Arial" w:hAnsi="Arial" w:cs="Arial"/>
          <w:b/>
        </w:rPr>
        <w:t>COURSE CODE:</w:t>
      </w:r>
      <w:r w:rsidRPr="007921F0">
        <w:rPr>
          <w:rFonts w:ascii="Arial" w:hAnsi="Arial" w:cs="Arial"/>
          <w:b/>
        </w:rPr>
        <w:tab/>
        <w:t>IFA 3209</w:t>
      </w:r>
    </w:p>
    <w:p w:rsidR="00DE124A" w:rsidRPr="007921F0" w:rsidRDefault="00DE124A" w:rsidP="00DE124A">
      <w:pPr>
        <w:shd w:val="clear" w:color="auto" w:fill="FFFFFF"/>
        <w:jc w:val="both"/>
        <w:rPr>
          <w:rFonts w:ascii="Arial" w:hAnsi="Arial" w:cs="Arial"/>
          <w:b/>
        </w:rPr>
      </w:pPr>
      <w:r w:rsidRPr="007921F0">
        <w:rPr>
          <w:rFonts w:ascii="Arial" w:hAnsi="Arial" w:cs="Arial"/>
          <w:b/>
        </w:rPr>
        <w:t xml:space="preserve">Course Description: </w:t>
      </w:r>
    </w:p>
    <w:p w:rsidR="00DE124A" w:rsidRPr="007921F0" w:rsidRDefault="00DE124A" w:rsidP="00DE124A">
      <w:pPr>
        <w:shd w:val="clear" w:color="auto" w:fill="FFFFFF"/>
        <w:rPr>
          <w:rFonts w:ascii="Arial" w:hAnsi="Arial" w:cs="Arial"/>
        </w:rPr>
      </w:pPr>
      <w:r w:rsidRPr="007921F0">
        <w:rPr>
          <w:rFonts w:ascii="Arial" w:hAnsi="Arial" w:cs="Arial"/>
        </w:rPr>
        <w:t>Advanced use of the watercolour media; Exploration of water colour as an expressive medium. Free expression of the colours and techniques in the mastery manner; Pre-painting studies, colour manipulation, schemes, harmony; Projects in outdoor and imaginary composition</w:t>
      </w:r>
    </w:p>
    <w:p w:rsidR="00DE124A" w:rsidRPr="007921F0" w:rsidRDefault="00DE124A" w:rsidP="00DE124A">
      <w:pPr>
        <w:shd w:val="clear" w:color="auto" w:fill="FFFFFF"/>
        <w:rPr>
          <w:rFonts w:ascii="Arial" w:hAnsi="Arial" w:cs="Arial"/>
        </w:rPr>
      </w:pPr>
      <w:r w:rsidRPr="007921F0">
        <w:rPr>
          <w:rFonts w:ascii="Arial" w:hAnsi="Arial" w:cs="Arial"/>
        </w:rPr>
        <w:t>Prerequisite IFA2210</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4cr hrs</w:t>
      </w:r>
    </w:p>
    <w:p w:rsidR="00DE124A" w:rsidRPr="007921F0" w:rsidRDefault="00DE124A" w:rsidP="00DE124A">
      <w:pPr>
        <w:shd w:val="clear" w:color="auto" w:fill="FFFFFF"/>
        <w:jc w:val="both"/>
        <w:rPr>
          <w:rFonts w:ascii="Arial" w:hAnsi="Arial" w:cs="Arial"/>
          <w:b/>
        </w:rPr>
      </w:pPr>
      <w:r w:rsidRPr="007921F0">
        <w:rPr>
          <w:rFonts w:ascii="Arial" w:hAnsi="Arial" w:cs="Arial"/>
          <w:b/>
        </w:rPr>
        <w:t>Course Objectives:</w:t>
      </w:r>
    </w:p>
    <w:p w:rsidR="00DE124A" w:rsidRPr="007921F0" w:rsidRDefault="00DE124A" w:rsidP="00DE124A">
      <w:pPr>
        <w:numPr>
          <w:ilvl w:val="0"/>
          <w:numId w:val="1"/>
        </w:numPr>
        <w:shd w:val="clear" w:color="auto" w:fill="FFFFFF"/>
        <w:spacing w:after="0"/>
        <w:jc w:val="both"/>
        <w:rPr>
          <w:rFonts w:ascii="Arial" w:hAnsi="Arial" w:cs="Arial"/>
        </w:rPr>
      </w:pPr>
      <w:r w:rsidRPr="007921F0">
        <w:rPr>
          <w:rFonts w:ascii="Arial" w:hAnsi="Arial" w:cs="Arial"/>
        </w:rPr>
        <w:t xml:space="preserve">To improve on the students intellectual and fractional skills. </w:t>
      </w:r>
    </w:p>
    <w:p w:rsidR="00DE124A" w:rsidRPr="007921F0" w:rsidRDefault="00DE124A" w:rsidP="00DE124A">
      <w:pPr>
        <w:numPr>
          <w:ilvl w:val="0"/>
          <w:numId w:val="1"/>
        </w:numPr>
        <w:shd w:val="clear" w:color="auto" w:fill="FFFFFF"/>
        <w:spacing w:after="0"/>
        <w:jc w:val="both"/>
        <w:rPr>
          <w:rFonts w:ascii="Arial" w:hAnsi="Arial" w:cs="Arial"/>
        </w:rPr>
      </w:pPr>
      <w:r w:rsidRPr="007921F0">
        <w:rPr>
          <w:rFonts w:ascii="Arial" w:hAnsi="Arial" w:cs="Arial"/>
        </w:rPr>
        <w:t xml:space="preserve">To embrace visual experience through the watercolour painting media. </w:t>
      </w:r>
    </w:p>
    <w:p w:rsidR="00DE124A" w:rsidRPr="007921F0" w:rsidRDefault="00DE124A" w:rsidP="00DE124A">
      <w:pPr>
        <w:numPr>
          <w:ilvl w:val="0"/>
          <w:numId w:val="1"/>
        </w:numPr>
        <w:shd w:val="clear" w:color="auto" w:fill="FFFFFF"/>
        <w:spacing w:after="0"/>
        <w:jc w:val="both"/>
        <w:rPr>
          <w:rFonts w:ascii="Arial" w:hAnsi="Arial" w:cs="Arial"/>
        </w:rPr>
      </w:pPr>
      <w:r w:rsidRPr="007921F0">
        <w:rPr>
          <w:rFonts w:ascii="Arial" w:hAnsi="Arial" w:cs="Arial"/>
        </w:rPr>
        <w:t>To enable students to identify feasible projects which can yield significant results for the community</w:t>
      </w:r>
    </w:p>
    <w:p w:rsidR="00DE124A" w:rsidRPr="007921F0" w:rsidRDefault="00DE124A" w:rsidP="00DE124A">
      <w:pPr>
        <w:numPr>
          <w:ilvl w:val="0"/>
          <w:numId w:val="1"/>
        </w:numPr>
        <w:shd w:val="clear" w:color="auto" w:fill="FFFFFF"/>
        <w:spacing w:after="0"/>
        <w:jc w:val="both"/>
        <w:rPr>
          <w:rFonts w:ascii="Arial" w:hAnsi="Arial" w:cs="Arial"/>
        </w:rPr>
      </w:pPr>
      <w:r w:rsidRPr="007921F0">
        <w:rPr>
          <w:rFonts w:ascii="Arial" w:hAnsi="Arial" w:cs="Arial"/>
        </w:rPr>
        <w:t xml:space="preserve">Development of personal style through the use of works of other masters in watercolour painting </w:t>
      </w:r>
    </w:p>
    <w:p w:rsidR="00DE124A" w:rsidRPr="007921F0" w:rsidRDefault="00DE124A" w:rsidP="00DE124A">
      <w:pPr>
        <w:numPr>
          <w:ilvl w:val="0"/>
          <w:numId w:val="1"/>
        </w:numPr>
        <w:shd w:val="clear" w:color="auto" w:fill="FFFFFF"/>
        <w:spacing w:after="0"/>
        <w:jc w:val="both"/>
        <w:rPr>
          <w:rFonts w:ascii="Arial" w:hAnsi="Arial" w:cs="Arial"/>
        </w:rPr>
      </w:pPr>
      <w:r w:rsidRPr="007921F0">
        <w:rPr>
          <w:rFonts w:ascii="Arial" w:hAnsi="Arial" w:cs="Arial"/>
        </w:rPr>
        <w:t>Step by step handling of projects in watercolour painting by student</w:t>
      </w:r>
    </w:p>
    <w:p w:rsidR="00DE124A" w:rsidRPr="007921F0" w:rsidRDefault="00DE124A" w:rsidP="00DE124A">
      <w:pPr>
        <w:shd w:val="clear" w:color="auto" w:fill="FFFFFF"/>
        <w:spacing w:before="240"/>
        <w:jc w:val="both"/>
        <w:rPr>
          <w:rFonts w:ascii="Arial" w:hAnsi="Arial" w:cs="Arial"/>
          <w:b/>
        </w:rPr>
      </w:pPr>
      <w:r w:rsidRPr="007921F0">
        <w:rPr>
          <w:rFonts w:ascii="Arial" w:hAnsi="Arial" w:cs="Arial"/>
          <w:b/>
        </w:rPr>
        <w:t>Course outline</w:t>
      </w:r>
    </w:p>
    <w:p w:rsidR="00DE124A" w:rsidRPr="007921F0" w:rsidRDefault="00DE124A" w:rsidP="00DE124A">
      <w:pPr>
        <w:shd w:val="clear" w:color="auto" w:fill="FFFFFF"/>
        <w:rPr>
          <w:rFonts w:ascii="Arial" w:hAnsi="Arial" w:cs="Arial"/>
          <w:b/>
        </w:rPr>
      </w:pPr>
      <w:r w:rsidRPr="007921F0">
        <w:rPr>
          <w:rFonts w:ascii="Arial" w:hAnsi="Arial" w:cs="Arial"/>
          <w:b/>
        </w:rPr>
        <w:t>Week 1: Reporting</w:t>
      </w:r>
    </w:p>
    <w:p w:rsidR="00DE124A" w:rsidRPr="007921F0" w:rsidRDefault="00DE124A" w:rsidP="00DE124A">
      <w:pPr>
        <w:shd w:val="clear" w:color="auto" w:fill="FFFFFF"/>
        <w:rPr>
          <w:rFonts w:ascii="Arial" w:hAnsi="Arial" w:cs="Arial"/>
          <w:b/>
        </w:rPr>
      </w:pPr>
      <w:r w:rsidRPr="007921F0">
        <w:rPr>
          <w:rFonts w:ascii="Arial" w:hAnsi="Arial" w:cs="Arial"/>
          <w:b/>
        </w:rPr>
        <w:t>Week 2: Watercolour themes</w:t>
      </w:r>
    </w:p>
    <w:p w:rsidR="00DE124A" w:rsidRPr="007921F0" w:rsidRDefault="00DE124A" w:rsidP="00DE124A">
      <w:pPr>
        <w:shd w:val="clear" w:color="auto" w:fill="FFFFFF"/>
        <w:rPr>
          <w:rFonts w:ascii="Arial" w:hAnsi="Arial" w:cs="Arial"/>
        </w:rPr>
      </w:pPr>
      <w:r w:rsidRPr="007921F0">
        <w:rPr>
          <w:rFonts w:ascii="Arial" w:hAnsi="Arial" w:cs="Arial"/>
        </w:rPr>
        <w:t>Identification and discussion of feasible projects by individual students and with the guidance of the lecturer.</w:t>
      </w:r>
    </w:p>
    <w:p w:rsidR="00DE124A" w:rsidRPr="007921F0" w:rsidRDefault="00DE124A" w:rsidP="00DE124A">
      <w:pPr>
        <w:shd w:val="clear" w:color="auto" w:fill="FFFFFF"/>
        <w:jc w:val="both"/>
        <w:rPr>
          <w:rFonts w:ascii="Arial" w:hAnsi="Arial" w:cs="Arial"/>
          <w:b/>
        </w:rPr>
      </w:pPr>
      <w:r w:rsidRPr="007921F0">
        <w:rPr>
          <w:rFonts w:ascii="Arial" w:hAnsi="Arial" w:cs="Arial"/>
          <w:b/>
        </w:rPr>
        <w:t>Week 3: Activities</w:t>
      </w:r>
    </w:p>
    <w:p w:rsidR="00DE124A" w:rsidRPr="007921F0" w:rsidRDefault="00DE124A" w:rsidP="00DE124A">
      <w:pPr>
        <w:shd w:val="clear" w:color="auto" w:fill="FFFFFF"/>
        <w:jc w:val="both"/>
        <w:rPr>
          <w:rFonts w:ascii="Arial" w:hAnsi="Arial" w:cs="Arial"/>
        </w:rPr>
      </w:pPr>
      <w:r w:rsidRPr="007921F0">
        <w:rPr>
          <w:rFonts w:ascii="Arial" w:hAnsi="Arial" w:cs="Arial"/>
        </w:rPr>
        <w:t>Sketching, photographing, planning, and drafting of the potential themes.</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Week 4: Assessment of the Sketches. C/W 1          (10%)</w:t>
      </w:r>
    </w:p>
    <w:p w:rsidR="00DE124A" w:rsidRPr="007921F0" w:rsidRDefault="00DE124A" w:rsidP="00DE124A">
      <w:pPr>
        <w:shd w:val="clear" w:color="auto" w:fill="FFFFFF"/>
        <w:jc w:val="both"/>
        <w:rPr>
          <w:rFonts w:ascii="Arial" w:hAnsi="Arial" w:cs="Arial"/>
          <w:b/>
        </w:rPr>
      </w:pPr>
      <w:r w:rsidRPr="007921F0">
        <w:rPr>
          <w:rFonts w:ascii="Arial" w:hAnsi="Arial" w:cs="Arial"/>
          <w:b/>
        </w:rPr>
        <w:t>Week 5: Project Composition</w:t>
      </w:r>
    </w:p>
    <w:p w:rsidR="00DE124A" w:rsidRPr="007921F0" w:rsidRDefault="00DE124A" w:rsidP="00DE124A">
      <w:pPr>
        <w:shd w:val="clear" w:color="auto" w:fill="FFFFFF"/>
        <w:jc w:val="both"/>
        <w:rPr>
          <w:rFonts w:ascii="Arial" w:hAnsi="Arial" w:cs="Arial"/>
        </w:rPr>
      </w:pPr>
      <w:r w:rsidRPr="007921F0">
        <w:rPr>
          <w:rFonts w:ascii="Arial" w:hAnsi="Arial" w:cs="Arial"/>
        </w:rPr>
        <w:t>Conversion of the first sketches into paintings</w:t>
      </w:r>
    </w:p>
    <w:p w:rsidR="00DE124A" w:rsidRPr="007921F0" w:rsidRDefault="00DE124A" w:rsidP="00DE124A">
      <w:pPr>
        <w:shd w:val="clear" w:color="auto" w:fill="FFFFFF"/>
        <w:jc w:val="both"/>
        <w:rPr>
          <w:rFonts w:ascii="Arial" w:hAnsi="Arial" w:cs="Arial"/>
          <w:b/>
        </w:rPr>
      </w:pPr>
      <w:r w:rsidRPr="007921F0">
        <w:rPr>
          <w:rFonts w:ascii="Arial" w:hAnsi="Arial" w:cs="Arial"/>
          <w:b/>
        </w:rPr>
        <w:t>Week 6: Production of Paintings</w:t>
      </w:r>
    </w:p>
    <w:p w:rsidR="00DE124A" w:rsidRPr="007921F0" w:rsidRDefault="00DE124A" w:rsidP="00DE124A">
      <w:pPr>
        <w:shd w:val="clear" w:color="auto" w:fill="FFFFFF"/>
        <w:jc w:val="both"/>
        <w:rPr>
          <w:rFonts w:ascii="Arial" w:hAnsi="Arial" w:cs="Arial"/>
        </w:rPr>
      </w:pPr>
      <w:r w:rsidRPr="007921F0">
        <w:rPr>
          <w:rFonts w:ascii="Arial" w:hAnsi="Arial" w:cs="Arial"/>
        </w:rPr>
        <w:t>Continuation of the previous exercise with final touches with reference to works of painting masters of similar themes</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Week 7: Assessment of the paintings. C/W 2.       (10%)</w:t>
      </w:r>
    </w:p>
    <w:p w:rsidR="00DE124A" w:rsidRPr="007921F0" w:rsidRDefault="00DE124A" w:rsidP="00DE124A">
      <w:pPr>
        <w:shd w:val="clear" w:color="auto" w:fill="FFFFFF"/>
        <w:jc w:val="both"/>
        <w:rPr>
          <w:rFonts w:ascii="Arial" w:hAnsi="Arial" w:cs="Arial"/>
          <w:b/>
        </w:rPr>
      </w:pPr>
      <w:r w:rsidRPr="007921F0">
        <w:rPr>
          <w:rFonts w:ascii="Arial" w:hAnsi="Arial" w:cs="Arial"/>
          <w:b/>
        </w:rPr>
        <w:t>Week 8: Seascapes</w:t>
      </w:r>
    </w:p>
    <w:p w:rsidR="00DE124A" w:rsidRPr="007921F0" w:rsidRDefault="00DE124A" w:rsidP="00DE124A">
      <w:pPr>
        <w:shd w:val="clear" w:color="auto" w:fill="FFFFFF"/>
        <w:jc w:val="both"/>
        <w:rPr>
          <w:rFonts w:ascii="Arial" w:hAnsi="Arial" w:cs="Arial"/>
        </w:rPr>
      </w:pPr>
      <w:r w:rsidRPr="007921F0">
        <w:rPr>
          <w:rFonts w:ascii="Arial" w:hAnsi="Arial" w:cs="Arial"/>
        </w:rPr>
        <w:lastRenderedPageBreak/>
        <w:t>Study tour to one of the beaches at Entebbe: aimed to enhance students’ ability capture seascapes.</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Week 9: Assessment of the paintings. C/W 3         (10%)</w:t>
      </w:r>
    </w:p>
    <w:p w:rsidR="00DE124A" w:rsidRPr="007921F0" w:rsidRDefault="00DE124A" w:rsidP="00DE124A">
      <w:pPr>
        <w:shd w:val="clear" w:color="auto" w:fill="FFFFFF"/>
        <w:jc w:val="both"/>
        <w:rPr>
          <w:rFonts w:ascii="Arial" w:hAnsi="Arial" w:cs="Arial"/>
          <w:b/>
        </w:rPr>
      </w:pPr>
      <w:r w:rsidRPr="007921F0">
        <w:rPr>
          <w:rFonts w:ascii="Arial" w:hAnsi="Arial" w:cs="Arial"/>
          <w:b/>
        </w:rPr>
        <w:t>Week 10: Major Works</w:t>
      </w:r>
    </w:p>
    <w:p w:rsidR="00DE124A" w:rsidRPr="007921F0" w:rsidRDefault="00DE124A" w:rsidP="00DE124A">
      <w:pPr>
        <w:shd w:val="clear" w:color="auto" w:fill="FFFFFF"/>
        <w:jc w:val="both"/>
        <w:rPr>
          <w:rFonts w:ascii="Arial" w:hAnsi="Arial" w:cs="Arial"/>
        </w:rPr>
      </w:pPr>
      <w:r w:rsidRPr="007921F0">
        <w:rPr>
          <w:rFonts w:ascii="Arial" w:hAnsi="Arial" w:cs="Arial"/>
        </w:rPr>
        <w:t>Preparation of Sketches for Major Works</w:t>
      </w:r>
    </w:p>
    <w:p w:rsidR="00DE124A" w:rsidRPr="007921F0" w:rsidRDefault="00DE124A" w:rsidP="00DE124A">
      <w:pPr>
        <w:shd w:val="clear" w:color="auto" w:fill="FFFFFF"/>
        <w:jc w:val="both"/>
        <w:rPr>
          <w:rFonts w:ascii="Arial" w:hAnsi="Arial" w:cs="Arial"/>
          <w:b/>
        </w:rPr>
      </w:pPr>
      <w:r w:rsidRPr="007921F0">
        <w:rPr>
          <w:rFonts w:ascii="Arial" w:hAnsi="Arial" w:cs="Arial"/>
          <w:b/>
        </w:rPr>
        <w:t>Week 11: Sketch Transfers:</w:t>
      </w:r>
    </w:p>
    <w:p w:rsidR="00DE124A" w:rsidRPr="007921F0" w:rsidRDefault="00DE124A" w:rsidP="00DE124A">
      <w:pPr>
        <w:shd w:val="clear" w:color="auto" w:fill="FFFFFF"/>
        <w:jc w:val="both"/>
        <w:rPr>
          <w:rFonts w:ascii="Arial" w:hAnsi="Arial" w:cs="Arial"/>
        </w:rPr>
      </w:pPr>
      <w:r w:rsidRPr="007921F0">
        <w:rPr>
          <w:rFonts w:ascii="Arial" w:hAnsi="Arial" w:cs="Arial"/>
        </w:rPr>
        <w:t>Transfer of sketches into final works by all the watercolour painters.</w:t>
      </w:r>
    </w:p>
    <w:p w:rsidR="00DE124A" w:rsidRPr="007921F0" w:rsidRDefault="00DE124A" w:rsidP="00DE124A">
      <w:pPr>
        <w:shd w:val="clear" w:color="auto" w:fill="FFFFFF"/>
        <w:jc w:val="both"/>
        <w:rPr>
          <w:rFonts w:ascii="Arial" w:hAnsi="Arial" w:cs="Arial"/>
          <w:b/>
        </w:rPr>
      </w:pPr>
      <w:r w:rsidRPr="007921F0">
        <w:rPr>
          <w:rFonts w:ascii="Arial" w:hAnsi="Arial" w:cs="Arial"/>
          <w:b/>
        </w:rPr>
        <w:t xml:space="preserve">Week 12-15: Major Work Painting </w:t>
      </w:r>
    </w:p>
    <w:p w:rsidR="00DE124A" w:rsidRPr="007921F0" w:rsidRDefault="00DE124A" w:rsidP="00DE124A">
      <w:pPr>
        <w:shd w:val="clear" w:color="auto" w:fill="FFFFFF"/>
        <w:jc w:val="both"/>
        <w:rPr>
          <w:rFonts w:ascii="Arial" w:hAnsi="Arial" w:cs="Arial"/>
        </w:rPr>
      </w:pPr>
      <w:r w:rsidRPr="007921F0">
        <w:rPr>
          <w:rFonts w:ascii="Arial" w:hAnsi="Arial" w:cs="Arial"/>
        </w:rPr>
        <w:t xml:space="preserve">Painting of the ‘Major Works’ takes place in the Mural Studio or outdoor at a given site. </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Week 15: Assessment of the paintings. C/W 4         (10%)</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Week 16-17: University Examination</w:t>
      </w:r>
    </w:p>
    <w:p w:rsidR="00DE124A" w:rsidRPr="007921F0" w:rsidRDefault="00DE124A" w:rsidP="00DE124A">
      <w:pPr>
        <w:shd w:val="clear" w:color="auto" w:fill="FFFFFF"/>
        <w:tabs>
          <w:tab w:val="left" w:pos="1188"/>
          <w:tab w:val="left" w:pos="2628"/>
        </w:tabs>
        <w:rPr>
          <w:rFonts w:ascii="Arial" w:hAnsi="Arial" w:cs="Arial"/>
          <w:b/>
        </w:rPr>
      </w:pPr>
      <w:r w:rsidRPr="007921F0">
        <w:rPr>
          <w:rFonts w:ascii="Arial" w:hAnsi="Arial" w:cs="Arial"/>
          <w:b/>
        </w:rPr>
        <w:t>Learning outcomes:</w:t>
      </w:r>
    </w:p>
    <w:p w:rsidR="00DE124A" w:rsidRPr="007921F0" w:rsidRDefault="00DE124A" w:rsidP="00DE124A">
      <w:pPr>
        <w:shd w:val="clear" w:color="auto" w:fill="FFFFFF"/>
        <w:jc w:val="both"/>
        <w:rPr>
          <w:rFonts w:ascii="Arial" w:hAnsi="Arial" w:cs="Arial"/>
        </w:rPr>
      </w:pPr>
      <w:r w:rsidRPr="007921F0">
        <w:rPr>
          <w:rFonts w:ascii="Arial" w:hAnsi="Arial" w:cs="Arial"/>
        </w:rPr>
        <w:t xml:space="preserve">At the end of this course, students would have learnt how to identify feasible   watercolour projects, handle them step by step, develop personal style and improve on the students intellectual and fractional skills. </w:t>
      </w:r>
    </w:p>
    <w:p w:rsidR="00DE124A" w:rsidRPr="007921F0" w:rsidRDefault="00DE124A" w:rsidP="00DE124A">
      <w:pPr>
        <w:shd w:val="clear" w:color="auto" w:fill="FFFFFF"/>
        <w:tabs>
          <w:tab w:val="left" w:pos="1188"/>
          <w:tab w:val="left" w:pos="2628"/>
        </w:tabs>
        <w:rPr>
          <w:rFonts w:ascii="Arial" w:hAnsi="Arial" w:cs="Arial"/>
        </w:rPr>
      </w:pPr>
      <w:r w:rsidRPr="007921F0">
        <w:rPr>
          <w:rFonts w:ascii="Arial" w:hAnsi="Arial" w:cs="Arial"/>
          <w:b/>
        </w:rPr>
        <w:t>Method of Teaching/Delivery</w:t>
      </w:r>
    </w:p>
    <w:p w:rsidR="00DE124A" w:rsidRPr="007921F0" w:rsidRDefault="00DE124A" w:rsidP="00DE124A">
      <w:pPr>
        <w:numPr>
          <w:ilvl w:val="0"/>
          <w:numId w:val="2"/>
        </w:numPr>
        <w:shd w:val="clear" w:color="auto" w:fill="FFFFFF"/>
        <w:tabs>
          <w:tab w:val="left" w:pos="1188"/>
          <w:tab w:val="left" w:pos="2628"/>
        </w:tabs>
        <w:spacing w:after="0"/>
        <w:rPr>
          <w:rFonts w:ascii="Arial" w:hAnsi="Arial" w:cs="Arial"/>
        </w:rPr>
      </w:pPr>
      <w:r w:rsidRPr="007921F0">
        <w:rPr>
          <w:rFonts w:ascii="Arial" w:hAnsi="Arial" w:cs="Arial"/>
        </w:rPr>
        <w:t>Lecture method</w:t>
      </w:r>
    </w:p>
    <w:p w:rsidR="00DE124A" w:rsidRPr="007921F0" w:rsidRDefault="00DE124A" w:rsidP="00DE124A">
      <w:pPr>
        <w:numPr>
          <w:ilvl w:val="0"/>
          <w:numId w:val="2"/>
        </w:numPr>
        <w:shd w:val="clear" w:color="auto" w:fill="FFFFFF"/>
        <w:tabs>
          <w:tab w:val="left" w:pos="1188"/>
          <w:tab w:val="left" w:pos="2628"/>
        </w:tabs>
        <w:spacing w:after="0"/>
        <w:rPr>
          <w:rFonts w:ascii="Arial" w:hAnsi="Arial" w:cs="Arial"/>
        </w:rPr>
      </w:pPr>
      <w:r w:rsidRPr="007921F0">
        <w:rPr>
          <w:rFonts w:ascii="Arial" w:hAnsi="Arial" w:cs="Arial"/>
        </w:rPr>
        <w:t>Guided tour and Demonstration</w:t>
      </w:r>
    </w:p>
    <w:p w:rsidR="00DE124A" w:rsidRPr="007921F0" w:rsidRDefault="00DE124A" w:rsidP="00DE124A">
      <w:pPr>
        <w:numPr>
          <w:ilvl w:val="0"/>
          <w:numId w:val="2"/>
        </w:numPr>
        <w:shd w:val="clear" w:color="auto" w:fill="FFFFFF"/>
        <w:tabs>
          <w:tab w:val="left" w:pos="1188"/>
          <w:tab w:val="left" w:pos="2628"/>
        </w:tabs>
        <w:spacing w:after="0"/>
        <w:rPr>
          <w:rFonts w:ascii="Arial" w:hAnsi="Arial" w:cs="Arial"/>
        </w:rPr>
      </w:pPr>
      <w:r w:rsidRPr="007921F0">
        <w:rPr>
          <w:rFonts w:ascii="Arial" w:hAnsi="Arial" w:cs="Arial"/>
        </w:rPr>
        <w:t>Guided studio work and self study</w:t>
      </w:r>
    </w:p>
    <w:p w:rsidR="00DE124A" w:rsidRPr="007921F0" w:rsidRDefault="00DE124A" w:rsidP="00DE124A">
      <w:pPr>
        <w:shd w:val="clear" w:color="auto" w:fill="FFFFFF"/>
        <w:tabs>
          <w:tab w:val="left" w:pos="1188"/>
          <w:tab w:val="left" w:pos="2628"/>
        </w:tabs>
        <w:spacing w:before="240"/>
        <w:rPr>
          <w:rFonts w:ascii="Arial" w:hAnsi="Arial" w:cs="Arial"/>
          <w:b/>
        </w:rPr>
      </w:pPr>
      <w:r w:rsidRPr="007921F0">
        <w:rPr>
          <w:rFonts w:ascii="Arial" w:hAnsi="Arial" w:cs="Arial"/>
          <w:b/>
        </w:rPr>
        <w:t>Mode of Assessment</w:t>
      </w:r>
    </w:p>
    <w:p w:rsidR="00DE124A" w:rsidRPr="007921F0" w:rsidRDefault="00DE124A" w:rsidP="00DE124A">
      <w:pPr>
        <w:shd w:val="clear" w:color="auto" w:fill="FFFFFF"/>
        <w:tabs>
          <w:tab w:val="left" w:pos="1188"/>
          <w:tab w:val="left" w:pos="2628"/>
        </w:tabs>
        <w:rPr>
          <w:rFonts w:ascii="Arial" w:hAnsi="Arial" w:cs="Arial"/>
        </w:rPr>
      </w:pPr>
      <w:r w:rsidRPr="007921F0">
        <w:rPr>
          <w:rFonts w:ascii="Arial" w:hAnsi="Arial" w:cs="Arial"/>
          <w:u w:val="single"/>
        </w:rPr>
        <w:t>Course work</w:t>
      </w:r>
      <w:r w:rsidRPr="007921F0">
        <w:rPr>
          <w:rFonts w:ascii="Arial" w:hAnsi="Arial" w:cs="Arial"/>
        </w:rPr>
        <w:t xml:space="preserve"> 40%</w:t>
      </w:r>
    </w:p>
    <w:p w:rsidR="00DE124A" w:rsidRPr="007921F0" w:rsidRDefault="00DE124A" w:rsidP="00DE124A">
      <w:pPr>
        <w:shd w:val="clear" w:color="auto" w:fill="FFFFFF"/>
        <w:tabs>
          <w:tab w:val="left" w:pos="1188"/>
          <w:tab w:val="left" w:pos="2628"/>
        </w:tabs>
        <w:spacing w:after="0"/>
        <w:rPr>
          <w:rFonts w:ascii="Arial" w:hAnsi="Arial" w:cs="Arial"/>
        </w:rPr>
      </w:pPr>
      <w:r w:rsidRPr="007921F0">
        <w:rPr>
          <w:rFonts w:ascii="Arial" w:hAnsi="Arial" w:cs="Arial"/>
        </w:rPr>
        <w:t>4 critques each marked out of 10%</w:t>
      </w:r>
    </w:p>
    <w:p w:rsidR="00DE124A" w:rsidRPr="007921F0" w:rsidRDefault="00DE124A" w:rsidP="00DE124A">
      <w:pPr>
        <w:shd w:val="clear" w:color="auto" w:fill="FFFFFF"/>
        <w:tabs>
          <w:tab w:val="left" w:pos="1188"/>
          <w:tab w:val="left" w:pos="2628"/>
        </w:tabs>
        <w:spacing w:before="240"/>
        <w:rPr>
          <w:rFonts w:ascii="Arial" w:hAnsi="Arial" w:cs="Arial"/>
        </w:rPr>
      </w:pPr>
      <w:r w:rsidRPr="007921F0">
        <w:rPr>
          <w:rFonts w:ascii="Arial" w:hAnsi="Arial" w:cs="Arial"/>
          <w:u w:val="single"/>
        </w:rPr>
        <w:t>End of Examination:</w:t>
      </w:r>
      <w:r w:rsidRPr="007921F0">
        <w:rPr>
          <w:rFonts w:ascii="Arial" w:hAnsi="Arial" w:cs="Arial"/>
        </w:rPr>
        <w:t xml:space="preserve"> 60%</w:t>
      </w:r>
    </w:p>
    <w:p w:rsidR="00DE124A" w:rsidRPr="007921F0" w:rsidRDefault="00DE124A" w:rsidP="00DE124A">
      <w:pPr>
        <w:shd w:val="clear" w:color="auto" w:fill="FFFFFF"/>
        <w:tabs>
          <w:tab w:val="left" w:pos="1188"/>
          <w:tab w:val="left" w:pos="2628"/>
        </w:tabs>
        <w:spacing w:before="240"/>
        <w:rPr>
          <w:rFonts w:ascii="Arial" w:hAnsi="Arial" w:cs="Arial"/>
        </w:rPr>
      </w:pPr>
      <w:r w:rsidRPr="007921F0">
        <w:rPr>
          <w:rFonts w:ascii="Arial" w:hAnsi="Arial" w:cs="Arial"/>
        </w:rPr>
        <w:t>Practical Examination marked out of 60%</w:t>
      </w:r>
    </w:p>
    <w:p w:rsidR="00DE124A" w:rsidRPr="007921F0" w:rsidRDefault="00DE124A" w:rsidP="00DE124A">
      <w:pPr>
        <w:shd w:val="clear" w:color="auto" w:fill="FFFFFF"/>
        <w:rPr>
          <w:rFonts w:ascii="Arial" w:hAnsi="Arial" w:cs="Arial"/>
        </w:rPr>
      </w:pPr>
      <w:r w:rsidRPr="007921F0">
        <w:rPr>
          <w:rFonts w:ascii="Arial" w:hAnsi="Arial" w:cs="Arial"/>
          <w:u w:val="single"/>
        </w:rPr>
        <w:t>Final Total Mark:</w:t>
      </w:r>
      <w:r w:rsidRPr="007921F0">
        <w:rPr>
          <w:rFonts w:ascii="Arial" w:hAnsi="Arial" w:cs="Arial"/>
        </w:rPr>
        <w:t xml:space="preserve"> 100%</w:t>
      </w:r>
    </w:p>
    <w:p w:rsidR="00DE124A" w:rsidRPr="007921F0" w:rsidRDefault="00DE124A" w:rsidP="00DE124A">
      <w:pPr>
        <w:shd w:val="clear" w:color="auto" w:fill="FFFFFF"/>
        <w:spacing w:before="240"/>
        <w:jc w:val="both"/>
        <w:rPr>
          <w:rFonts w:ascii="Arial" w:hAnsi="Arial" w:cs="Arial"/>
          <w:b/>
        </w:rPr>
      </w:pPr>
      <w:r w:rsidRPr="007921F0">
        <w:rPr>
          <w:rFonts w:ascii="Arial" w:hAnsi="Arial" w:cs="Arial"/>
          <w:b/>
        </w:rPr>
        <w:t>Reading/Reference Materials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Adams, L.S. (2005). </w:t>
      </w:r>
      <w:r w:rsidRPr="007921F0">
        <w:rPr>
          <w:rFonts w:ascii="Arial" w:hAnsi="Arial" w:cs="Arial"/>
          <w:b/>
        </w:rPr>
        <w:t>A History of Western Art.</w:t>
      </w:r>
      <w:r w:rsidRPr="007921F0">
        <w:rPr>
          <w:rFonts w:ascii="Arial" w:hAnsi="Arial" w:cs="Arial"/>
        </w:rPr>
        <w:t xml:space="preserve"> 4</w:t>
      </w:r>
      <w:r w:rsidRPr="007921F0">
        <w:rPr>
          <w:rFonts w:ascii="Arial" w:hAnsi="Arial" w:cs="Arial"/>
          <w:vertAlign w:val="superscript"/>
        </w:rPr>
        <w:t>th</w:t>
      </w:r>
      <w:r w:rsidRPr="007921F0">
        <w:rPr>
          <w:rFonts w:ascii="Arial" w:hAnsi="Arial" w:cs="Arial"/>
        </w:rPr>
        <w:t xml:space="preserve"> Ed.  New York. McGraw-Hill</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Adams, L.S. (2007). </w:t>
      </w:r>
      <w:r w:rsidRPr="007921F0">
        <w:rPr>
          <w:rFonts w:ascii="Arial" w:hAnsi="Arial" w:cs="Arial"/>
          <w:b/>
        </w:rPr>
        <w:t>Art across Time</w:t>
      </w:r>
      <w:r w:rsidRPr="007921F0">
        <w:rPr>
          <w:rFonts w:ascii="Arial" w:hAnsi="Arial" w:cs="Arial"/>
        </w:rPr>
        <w:t>. 3</w:t>
      </w:r>
      <w:r w:rsidRPr="007921F0">
        <w:rPr>
          <w:rFonts w:ascii="Arial" w:hAnsi="Arial" w:cs="Arial"/>
          <w:vertAlign w:val="superscript"/>
        </w:rPr>
        <w:t xml:space="preserve">rd </w:t>
      </w:r>
      <w:r w:rsidRPr="007921F0">
        <w:rPr>
          <w:rFonts w:ascii="Arial" w:hAnsi="Arial" w:cs="Arial"/>
        </w:rPr>
        <w:t>Ed. New York. McGraw-Hill</w:t>
      </w:r>
      <w:r w:rsidRPr="007921F0">
        <w:rPr>
          <w:rFonts w:ascii="Arial" w:hAnsi="Arial" w:cs="Arial"/>
        </w:rPr>
        <w:tab/>
        <w:t xml:space="preserve"> Companies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lastRenderedPageBreak/>
        <w:t xml:space="preserve">Arnason, H. H. (1986). </w:t>
      </w:r>
      <w:r w:rsidRPr="007921F0">
        <w:rPr>
          <w:rFonts w:ascii="Arial" w:hAnsi="Arial" w:cs="Arial"/>
          <w:b/>
        </w:rPr>
        <w:t>A History of Modern Art.</w:t>
      </w:r>
      <w:r w:rsidRPr="007921F0">
        <w:rPr>
          <w:rFonts w:ascii="Arial" w:hAnsi="Arial" w:cs="Arial"/>
        </w:rPr>
        <w:t xml:space="preserve"> (3</w:t>
      </w:r>
      <w:r w:rsidRPr="007921F0">
        <w:rPr>
          <w:rFonts w:ascii="Arial" w:hAnsi="Arial" w:cs="Arial"/>
          <w:vertAlign w:val="superscript"/>
        </w:rPr>
        <w:t>rd</w:t>
      </w:r>
      <w:r w:rsidRPr="007921F0">
        <w:rPr>
          <w:rFonts w:ascii="Arial" w:hAnsi="Arial" w:cs="Arial"/>
        </w:rPr>
        <w:t xml:space="preserve"> Ed). Inc. New York: Thames and Hudson.</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Bellamy, D. (2002). </w:t>
      </w:r>
      <w:r w:rsidRPr="007921F0">
        <w:rPr>
          <w:rFonts w:ascii="Arial" w:hAnsi="Arial" w:cs="Arial"/>
          <w:b/>
        </w:rPr>
        <w:t>Learn to Paint Watercolour with the Experts</w:t>
      </w:r>
      <w:r w:rsidRPr="007921F0">
        <w:rPr>
          <w:rFonts w:ascii="Arial" w:hAnsi="Arial" w:cs="Arial"/>
        </w:rPr>
        <w:t>. London. HarperCollins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Brommer, G.F. (1995). </w:t>
      </w:r>
      <w:r w:rsidRPr="007921F0">
        <w:rPr>
          <w:rFonts w:ascii="Arial" w:hAnsi="Arial" w:cs="Arial"/>
          <w:i/>
        </w:rPr>
        <w:t>Exploring Painting.</w:t>
      </w:r>
      <w:r w:rsidRPr="007921F0">
        <w:rPr>
          <w:rFonts w:ascii="Arial" w:hAnsi="Arial" w:cs="Arial"/>
        </w:rPr>
        <w:t xml:space="preserve"> Inc. </w:t>
      </w:r>
      <w:r w:rsidRPr="007921F0">
        <w:rPr>
          <w:rFonts w:ascii="Arial" w:hAnsi="Arial" w:cs="Arial"/>
        </w:rPr>
        <w:tab/>
        <w:t>Worcester, Massachusetts U.S.A: Davis Publication.</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Crawshaw, A. (1995). </w:t>
      </w:r>
      <w:r w:rsidRPr="007921F0">
        <w:rPr>
          <w:rFonts w:ascii="Arial" w:hAnsi="Arial" w:cs="Arial"/>
          <w:i/>
        </w:rPr>
        <w:t>Learn to Paint Watercolors.</w:t>
      </w:r>
      <w:r w:rsidRPr="007921F0">
        <w:rPr>
          <w:rFonts w:ascii="Arial" w:hAnsi="Arial" w:cs="Arial"/>
        </w:rPr>
        <w:t xml:space="preserve"> London. Harper Collins.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Crawshaw, A. (1998). </w:t>
      </w:r>
      <w:r w:rsidRPr="007921F0">
        <w:rPr>
          <w:rFonts w:ascii="Arial" w:hAnsi="Arial" w:cs="Arial"/>
          <w:i/>
        </w:rPr>
        <w:t>Watercolour Painting Course.</w:t>
      </w:r>
      <w:r w:rsidRPr="007921F0">
        <w:rPr>
          <w:rFonts w:ascii="Arial" w:hAnsi="Arial" w:cs="Arial"/>
        </w:rPr>
        <w:t xml:space="preserve"> London. HarperCollins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Gair, A. (1995). </w:t>
      </w:r>
      <w:r w:rsidRPr="007921F0">
        <w:rPr>
          <w:rFonts w:ascii="Arial" w:hAnsi="Arial" w:cs="Arial"/>
          <w:i/>
        </w:rPr>
        <w:t>Artist’s Manual.</w:t>
      </w:r>
      <w:r w:rsidRPr="007921F0">
        <w:rPr>
          <w:rFonts w:ascii="Arial" w:hAnsi="Arial" w:cs="Arial"/>
        </w:rPr>
        <w:t xml:space="preserve"> London. Collins Publishers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Johnson, C. (1987). </w:t>
      </w:r>
      <w:r w:rsidRPr="007921F0">
        <w:rPr>
          <w:rFonts w:ascii="Arial" w:hAnsi="Arial" w:cs="Arial"/>
          <w:i/>
        </w:rPr>
        <w:t>Watercolour Tricks &amp; Techniques.</w:t>
      </w:r>
      <w:r w:rsidRPr="007921F0">
        <w:rPr>
          <w:rFonts w:ascii="Arial" w:hAnsi="Arial" w:cs="Arial"/>
        </w:rPr>
        <w:t xml:space="preserve"> 1</w:t>
      </w:r>
      <w:r w:rsidRPr="007921F0">
        <w:rPr>
          <w:rFonts w:ascii="Arial" w:hAnsi="Arial" w:cs="Arial"/>
          <w:vertAlign w:val="superscript"/>
        </w:rPr>
        <w:t>st</w:t>
      </w:r>
      <w:r w:rsidRPr="007921F0">
        <w:rPr>
          <w:rFonts w:ascii="Arial" w:hAnsi="Arial" w:cs="Arial"/>
        </w:rPr>
        <w:t xml:space="preserve"> Ed. Cincinnati, Ohio. North Light Books.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Martin, F.D. (2004). </w:t>
      </w:r>
      <w:r w:rsidRPr="007921F0">
        <w:rPr>
          <w:rFonts w:ascii="Arial" w:hAnsi="Arial" w:cs="Arial"/>
          <w:i/>
        </w:rPr>
        <w:t>The Humanities through the Arts.</w:t>
      </w:r>
      <w:r w:rsidRPr="007921F0">
        <w:rPr>
          <w:rFonts w:ascii="Arial" w:hAnsi="Arial" w:cs="Arial"/>
        </w:rPr>
        <w:t xml:space="preserve"> 6</w:t>
      </w:r>
      <w:r w:rsidRPr="007921F0">
        <w:rPr>
          <w:rFonts w:ascii="Arial" w:hAnsi="Arial" w:cs="Arial"/>
          <w:vertAlign w:val="superscript"/>
        </w:rPr>
        <w:t>th</w:t>
      </w:r>
      <w:r w:rsidRPr="007921F0">
        <w:rPr>
          <w:rFonts w:ascii="Arial" w:hAnsi="Arial" w:cs="Arial"/>
        </w:rPr>
        <w:t xml:space="preserve"> Ed. New York. McGraw-Hill</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Mittler, R. (1992</w:t>
      </w:r>
      <w:r w:rsidRPr="007921F0">
        <w:rPr>
          <w:rFonts w:ascii="Arial" w:hAnsi="Arial" w:cs="Arial"/>
          <w:b/>
        </w:rPr>
        <w:t xml:space="preserve">). </w:t>
      </w:r>
      <w:r w:rsidRPr="007921F0">
        <w:rPr>
          <w:rFonts w:ascii="Arial" w:hAnsi="Arial" w:cs="Arial"/>
          <w:i/>
        </w:rPr>
        <w:t>Exporing Art. Glencoe Division</w:t>
      </w:r>
      <w:r w:rsidRPr="007921F0">
        <w:rPr>
          <w:rFonts w:ascii="Arial" w:hAnsi="Arial" w:cs="Arial"/>
        </w:rPr>
        <w:t>, U.S.A:  Macmillan/MaGraw-Hill Publishing Company.</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Mott, E. (1988). </w:t>
      </w:r>
      <w:r w:rsidRPr="007921F0">
        <w:rPr>
          <w:rFonts w:ascii="Arial" w:hAnsi="Arial" w:cs="Arial"/>
          <w:i/>
        </w:rPr>
        <w:t>Secret from an Oil Painting Dairy.</w:t>
      </w:r>
      <w:r w:rsidRPr="007921F0">
        <w:rPr>
          <w:rFonts w:ascii="Arial" w:hAnsi="Arial" w:cs="Arial"/>
        </w:rPr>
        <w:t xml:space="preserve"> New York. Watsin- Guptill Publications.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Sanjay, S. (2007). </w:t>
      </w:r>
      <w:r w:rsidRPr="007921F0">
        <w:rPr>
          <w:rFonts w:ascii="Arial" w:hAnsi="Arial" w:cs="Arial"/>
          <w:i/>
        </w:rPr>
        <w:t>Still Life.</w:t>
      </w:r>
      <w:r w:rsidRPr="007921F0">
        <w:rPr>
          <w:rFonts w:ascii="Arial" w:hAnsi="Arial" w:cs="Arial"/>
        </w:rPr>
        <w:t xml:space="preserve"> 1</w:t>
      </w:r>
      <w:r w:rsidRPr="007921F0">
        <w:rPr>
          <w:rFonts w:ascii="Arial" w:hAnsi="Arial" w:cs="Arial"/>
          <w:vertAlign w:val="superscript"/>
        </w:rPr>
        <w:t>st</w:t>
      </w:r>
      <w:r w:rsidRPr="007921F0">
        <w:rPr>
          <w:rFonts w:ascii="Arial" w:hAnsi="Arial" w:cs="Arial"/>
        </w:rPr>
        <w:t xml:space="preserve"> Ed. Mumbai. Jyotsna Prakahan.</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Sidaway, I. (2001). </w:t>
      </w:r>
      <w:r w:rsidRPr="007921F0">
        <w:rPr>
          <w:rFonts w:ascii="Arial" w:hAnsi="Arial" w:cs="Arial"/>
          <w:i/>
        </w:rPr>
        <w:t>Watercolor Landscapes.</w:t>
      </w:r>
      <w:r w:rsidRPr="007921F0">
        <w:rPr>
          <w:rFonts w:ascii="Arial" w:hAnsi="Arial" w:cs="Arial"/>
          <w:b/>
        </w:rPr>
        <w:t xml:space="preserve"> </w:t>
      </w:r>
      <w:r w:rsidRPr="007921F0">
        <w:rPr>
          <w:rFonts w:ascii="Arial" w:hAnsi="Arial" w:cs="Arial"/>
        </w:rPr>
        <w:t>London. New Holland  Publishers</w:t>
      </w:r>
    </w:p>
    <w:p w:rsidR="00DE124A" w:rsidRPr="007921F0" w:rsidRDefault="00DE124A" w:rsidP="00DE124A">
      <w:pPr>
        <w:pStyle w:val="ListParagraph"/>
        <w:numPr>
          <w:ilvl w:val="0"/>
          <w:numId w:val="3"/>
        </w:numPr>
        <w:shd w:val="clear" w:color="auto" w:fill="FFFFFF"/>
        <w:ind w:left="720"/>
        <w:jc w:val="both"/>
        <w:rPr>
          <w:rFonts w:ascii="Arial" w:hAnsi="Arial" w:cs="Arial"/>
        </w:rPr>
      </w:pPr>
      <w:r w:rsidRPr="007921F0">
        <w:rPr>
          <w:rFonts w:ascii="Arial" w:hAnsi="Arial" w:cs="Arial"/>
        </w:rPr>
        <w:t xml:space="preserve">Tony, P. (2003). </w:t>
      </w:r>
      <w:r w:rsidRPr="007921F0">
        <w:rPr>
          <w:rFonts w:ascii="Arial" w:hAnsi="Arial" w:cs="Arial"/>
          <w:i/>
        </w:rPr>
        <w:t>How to mix and use colour.</w:t>
      </w:r>
      <w:r w:rsidRPr="007921F0">
        <w:rPr>
          <w:rFonts w:ascii="Arial" w:hAnsi="Arial" w:cs="Arial"/>
        </w:rPr>
        <w:t xml:space="preserve"> London. New Holland Publishers</w:t>
      </w:r>
    </w:p>
    <w:p w:rsidR="00DE124A" w:rsidRDefault="00DE124A" w:rsidP="00DE124A">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AC6"/>
    <w:multiLevelType w:val="hybridMultilevel"/>
    <w:tmpl w:val="BC4EA214"/>
    <w:lvl w:ilvl="0" w:tplc="E9EEFA32">
      <w:start w:val="1"/>
      <w:numFmt w:val="decimal"/>
      <w:lvlText w:val="%1."/>
      <w:lvlJc w:val="lef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54214"/>
    <w:multiLevelType w:val="hybridMultilevel"/>
    <w:tmpl w:val="7BF61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436974"/>
    <w:multiLevelType w:val="hybridMultilevel"/>
    <w:tmpl w:val="71F6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A"/>
    <w:rsid w:val="00D73D89"/>
    <w:rsid w:val="00DE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2014-07-25T12:45:00Z</dcterms:created>
  <dcterms:modified xsi:type="dcterms:W3CDTF">2014-07-25T12:45:00Z</dcterms:modified>
</cp:coreProperties>
</file>