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1" w:rsidRPr="00747B86" w:rsidRDefault="00015021" w:rsidP="00015021">
      <w:pPr>
        <w:pStyle w:val="Heading2"/>
        <w:spacing w:before="0" w:line="240" w:lineRule="auto"/>
        <w:contextualSpacing/>
        <w:rPr>
          <w:rFonts w:ascii="Calibri" w:hAnsi="Calibri"/>
          <w:color w:val="333333"/>
          <w:sz w:val="24"/>
          <w:szCs w:val="24"/>
        </w:rPr>
      </w:pPr>
      <w:r w:rsidRPr="00747B86">
        <w:rPr>
          <w:rFonts w:ascii="Calibri" w:hAnsi="Calibri"/>
          <w:color w:val="333333"/>
          <w:sz w:val="24"/>
          <w:szCs w:val="24"/>
        </w:rPr>
        <w:t>LAW 1110</w:t>
      </w:r>
      <w:r w:rsidRPr="00747B86">
        <w:rPr>
          <w:rFonts w:ascii="Calibri" w:hAnsi="Calibri"/>
          <w:color w:val="333333"/>
          <w:sz w:val="24"/>
          <w:szCs w:val="24"/>
        </w:rPr>
        <w:tab/>
        <w:t>PRINCIPLES OF CONSTITUIONAL LAW I</w:t>
      </w:r>
    </w:p>
    <w:p w:rsidR="00015021" w:rsidRPr="00747B86" w:rsidRDefault="00015021" w:rsidP="00015021">
      <w:pPr>
        <w:pStyle w:val="Heading3"/>
        <w:spacing w:before="0" w:line="240" w:lineRule="auto"/>
        <w:contextualSpacing/>
        <w:rPr>
          <w:rFonts w:ascii="Calibri" w:hAnsi="Calibri"/>
          <w:color w:val="333333"/>
          <w:sz w:val="24"/>
          <w:szCs w:val="24"/>
        </w:rPr>
      </w:pPr>
    </w:p>
    <w:p w:rsidR="00015021" w:rsidRPr="00747B86" w:rsidRDefault="00015021" w:rsidP="00015021">
      <w:pPr>
        <w:pStyle w:val="Heading3"/>
        <w:spacing w:before="0" w:line="240" w:lineRule="auto"/>
        <w:contextualSpacing/>
        <w:rPr>
          <w:rFonts w:ascii="Calibri" w:hAnsi="Calibri"/>
          <w:color w:val="333333"/>
          <w:sz w:val="24"/>
          <w:szCs w:val="24"/>
        </w:rPr>
      </w:pPr>
      <w:r w:rsidRPr="00747B86">
        <w:rPr>
          <w:rFonts w:ascii="Calibri" w:hAnsi="Calibri"/>
          <w:color w:val="333333"/>
          <w:sz w:val="24"/>
          <w:szCs w:val="24"/>
        </w:rPr>
        <w:t>Course Description</w:t>
      </w:r>
    </w:p>
    <w:p w:rsidR="00015021" w:rsidRPr="00747B86" w:rsidRDefault="00015021" w:rsidP="00015021">
      <w:pPr>
        <w:rPr>
          <w:rFonts w:ascii="Calibri" w:hAnsi="Calibri"/>
          <w:sz w:val="24"/>
          <w:szCs w:val="24"/>
        </w:rPr>
      </w:pPr>
      <w:r w:rsidRPr="00747B86">
        <w:rPr>
          <w:rFonts w:ascii="Calibri" w:hAnsi="Calibri"/>
          <w:sz w:val="24"/>
          <w:szCs w:val="24"/>
        </w:rPr>
        <w:t xml:space="preserve">The course covers constitutional history of </w:t>
      </w:r>
      <w:smartTag w:uri="urn:schemas-microsoft-com:office:smarttags" w:element="place">
        <w:smartTag w:uri="urn:schemas-microsoft-com:office:smarttags" w:element="country-region">
          <w:r w:rsidRPr="00747B86">
            <w:rPr>
              <w:rFonts w:ascii="Calibri" w:hAnsi="Calibri"/>
              <w:sz w:val="24"/>
              <w:szCs w:val="24"/>
            </w:rPr>
            <w:t>Uganda</w:t>
          </w:r>
        </w:smartTag>
      </w:smartTag>
      <w:r w:rsidRPr="00747B86">
        <w:rPr>
          <w:rFonts w:ascii="Calibri" w:hAnsi="Calibri"/>
          <w:sz w:val="24"/>
          <w:szCs w:val="24"/>
        </w:rPr>
        <w:t xml:space="preserve"> from the pre-colonial state to the promulgation of the 1995 Constitution.</w:t>
      </w:r>
    </w:p>
    <w:p w:rsidR="00015021" w:rsidRPr="00747B86" w:rsidRDefault="00015021" w:rsidP="00015021">
      <w:pPr>
        <w:pStyle w:val="BodyText"/>
        <w:spacing w:line="240" w:lineRule="auto"/>
        <w:contextualSpacing/>
        <w:rPr>
          <w:rFonts w:ascii="Calibri" w:hAnsi="Calibri"/>
          <w:b/>
        </w:rPr>
      </w:pPr>
      <w:r w:rsidRPr="00747B86">
        <w:rPr>
          <w:rFonts w:ascii="Calibri" w:hAnsi="Calibri"/>
          <w:b/>
        </w:rPr>
        <w:t>Course Content</w:t>
      </w:r>
    </w:p>
    <w:p w:rsidR="00015021" w:rsidRPr="00747B86" w:rsidRDefault="00015021" w:rsidP="00015021">
      <w:pPr>
        <w:pStyle w:val="BodyText"/>
        <w:spacing w:line="240" w:lineRule="auto"/>
        <w:contextualSpacing/>
        <w:rPr>
          <w:rFonts w:ascii="Calibri" w:hAnsi="Calibri"/>
        </w:rPr>
      </w:pPr>
      <w:r w:rsidRPr="00747B86">
        <w:rPr>
          <w:rFonts w:ascii="Calibri" w:hAnsi="Calibri"/>
        </w:rPr>
        <w:t>Origins of the Constitutional state in Anglo-American Jurisprudence (including the evolution of parliamentary and presidential forms of government); pre-colonial African and Ugandan forms of governance and constitutional order, colonial non-constitutionalism and the agreements of conquest, indirect rule and protectorate status (1900-1962); the Lancaster House Independence Settlement and its aftermath; post-independence constitutional developments (1966-October 1995) and the process of promulgation of the 1995 Constitution of Uganda.</w:t>
      </w:r>
    </w:p>
    <w:p w:rsidR="00015021" w:rsidRPr="00747B86" w:rsidRDefault="00015021" w:rsidP="00015021">
      <w:pPr>
        <w:spacing w:after="0"/>
        <w:rPr>
          <w:rFonts w:ascii="Calibri" w:hAnsi="Calibri"/>
          <w:b/>
          <w:sz w:val="24"/>
          <w:szCs w:val="24"/>
        </w:rPr>
      </w:pPr>
    </w:p>
    <w:p w:rsidR="00015021" w:rsidRPr="00747B86" w:rsidRDefault="00015021" w:rsidP="00015021">
      <w:pPr>
        <w:spacing w:after="0"/>
        <w:rPr>
          <w:rFonts w:ascii="Calibri" w:hAnsi="Calibri"/>
          <w:b/>
          <w:sz w:val="24"/>
          <w:szCs w:val="24"/>
        </w:rPr>
      </w:pPr>
      <w:r w:rsidRPr="00747B86">
        <w:rPr>
          <w:rFonts w:ascii="Calibri" w:hAnsi="Calibri"/>
          <w:b/>
          <w:sz w:val="24"/>
          <w:szCs w:val="24"/>
        </w:rPr>
        <w:t>Course Objectives</w:t>
      </w:r>
    </w:p>
    <w:p w:rsidR="00015021" w:rsidRPr="00747B86" w:rsidRDefault="00015021" w:rsidP="00015021">
      <w:pPr>
        <w:spacing w:after="0"/>
        <w:contextualSpacing/>
        <w:rPr>
          <w:rFonts w:ascii="Calibri" w:hAnsi="Calibri"/>
          <w:sz w:val="24"/>
          <w:szCs w:val="24"/>
        </w:rPr>
      </w:pPr>
      <w:r w:rsidRPr="00747B86">
        <w:rPr>
          <w:rFonts w:ascii="Calibri" w:hAnsi="Calibri"/>
          <w:sz w:val="24"/>
          <w:szCs w:val="24"/>
        </w:rPr>
        <w:t>The study of Constitutional History is designed to introduce the student to the evolution and influence of past historical forms and structures upon contemporary Ugandan reality.  The approach adopted is a multi-disciplinary one and illuminates the political, socio-economic and cultural dimensions of the evolution of Constitutional Law and Politics since the founding of Uganda.</w:t>
      </w:r>
    </w:p>
    <w:p w:rsidR="00015021" w:rsidRPr="00747B86" w:rsidRDefault="00015021" w:rsidP="00015021">
      <w:pPr>
        <w:spacing w:after="0"/>
        <w:contextualSpacing/>
        <w:rPr>
          <w:rFonts w:ascii="Calibri" w:hAnsi="Calibri"/>
          <w:b/>
          <w:bCs/>
          <w:sz w:val="24"/>
          <w:szCs w:val="24"/>
          <w:lang w:val="en-GB"/>
        </w:rPr>
      </w:pPr>
    </w:p>
    <w:p w:rsidR="00015021" w:rsidRPr="00747B86" w:rsidRDefault="00015021" w:rsidP="00015021">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015021" w:rsidRPr="00747B86" w:rsidRDefault="00015021" w:rsidP="00015021">
      <w:pPr>
        <w:numPr>
          <w:ilvl w:val="0"/>
          <w:numId w:val="1"/>
        </w:numPr>
        <w:tabs>
          <w:tab w:val="clear" w:pos="360"/>
          <w:tab w:val="num"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given reading lists, which indicate the topics to be covered, and the respective reading materials for the respective topics.  It is expected that the student uses this list in preparation for each lecture.</w:t>
      </w:r>
    </w:p>
    <w:p w:rsidR="00015021" w:rsidRPr="00747B86" w:rsidRDefault="00015021" w:rsidP="00015021">
      <w:pPr>
        <w:numPr>
          <w:ilvl w:val="0"/>
          <w:numId w:val="1"/>
        </w:numPr>
        <w:tabs>
          <w:tab w:val="clear" w:pos="360"/>
          <w:tab w:val="num"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problems for discussion during the lectures.</w:t>
      </w:r>
    </w:p>
    <w:p w:rsidR="00015021" w:rsidRPr="00747B86" w:rsidRDefault="00015021" w:rsidP="00015021">
      <w:pPr>
        <w:spacing w:after="0" w:line="240" w:lineRule="auto"/>
        <w:contextualSpacing/>
        <w:rPr>
          <w:rFonts w:ascii="Calibri" w:hAnsi="Calibri"/>
          <w:bCs/>
          <w:sz w:val="24"/>
          <w:szCs w:val="24"/>
          <w:lang w:val="en-GB"/>
        </w:rPr>
      </w:pPr>
    </w:p>
    <w:p w:rsidR="00015021" w:rsidRPr="00747B86" w:rsidRDefault="00015021" w:rsidP="00015021">
      <w:pPr>
        <w:spacing w:after="0" w:line="240" w:lineRule="auto"/>
        <w:contextualSpacing/>
        <w:rPr>
          <w:rFonts w:ascii="Calibri" w:hAnsi="Calibri"/>
          <w:b/>
          <w:bCs/>
          <w:sz w:val="24"/>
          <w:szCs w:val="24"/>
          <w:lang w:val="en-GB"/>
        </w:rPr>
      </w:pPr>
      <w:r w:rsidRPr="00747B86">
        <w:rPr>
          <w:rFonts w:ascii="Calibri" w:hAnsi="Calibri"/>
          <w:b/>
          <w:bCs/>
          <w:sz w:val="24"/>
          <w:szCs w:val="24"/>
          <w:lang w:val="en-GB"/>
        </w:rPr>
        <w:t>Learning Outcomes</w:t>
      </w:r>
    </w:p>
    <w:p w:rsidR="00015021" w:rsidRPr="00747B86" w:rsidRDefault="00015021" w:rsidP="00015021">
      <w:pPr>
        <w:spacing w:after="0" w:line="240" w:lineRule="auto"/>
        <w:contextualSpacing/>
        <w:rPr>
          <w:rFonts w:ascii="Calibri" w:hAnsi="Calibri"/>
          <w:sz w:val="24"/>
          <w:szCs w:val="24"/>
        </w:rPr>
      </w:pPr>
      <w:r w:rsidRPr="00747B86">
        <w:rPr>
          <w:rFonts w:ascii="Calibri" w:hAnsi="Calibri"/>
          <w:sz w:val="24"/>
          <w:szCs w:val="24"/>
        </w:rPr>
        <w:t>By the end of the course, students will be expected to have grasped the many twists and turns through which Constitutional Law and the political context within which it operates in Uganda has evolved.  While the focus is on key historical events since the establishment of a British Protectorate in 1894, the course also seeks to convey an understanding of the political economy of Imperial politics, the dynamics of local forms of governance and political organization and their lasting impact on contemporary forms of constitutional discourse and governance in the country.</w:t>
      </w:r>
    </w:p>
    <w:p w:rsidR="00015021" w:rsidRPr="00747B86" w:rsidRDefault="00015021" w:rsidP="00015021">
      <w:pPr>
        <w:pStyle w:val="ListParagraph"/>
        <w:ind w:left="0"/>
        <w:rPr>
          <w:rFonts w:ascii="Calibri" w:hAnsi="Calibri"/>
        </w:rPr>
      </w:pPr>
    </w:p>
    <w:p w:rsidR="00015021" w:rsidRPr="00747B86" w:rsidRDefault="00015021" w:rsidP="00015021">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015021" w:rsidRPr="00747B86" w:rsidRDefault="00015021" w:rsidP="00015021">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At the commencement of the course, students are availed with reading lists, which indicate the topics to be covered, and the respective reading materials for the </w:t>
      </w:r>
      <w:r w:rsidRPr="00747B86">
        <w:rPr>
          <w:rFonts w:ascii="Calibri" w:hAnsi="Calibri"/>
          <w:bCs/>
          <w:sz w:val="24"/>
          <w:szCs w:val="24"/>
          <w:lang w:val="en-GB"/>
        </w:rPr>
        <w:lastRenderedPageBreak/>
        <w:t>respective topics.  It is expected that the student uses this list in preparation for each lecture.</w:t>
      </w:r>
    </w:p>
    <w:p w:rsidR="00015021" w:rsidRPr="00747B86" w:rsidRDefault="00015021" w:rsidP="00015021">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015021" w:rsidRPr="00747B86" w:rsidRDefault="00015021" w:rsidP="00015021">
      <w:pPr>
        <w:spacing w:after="0" w:line="240" w:lineRule="auto"/>
        <w:ind w:left="720"/>
        <w:contextualSpacing/>
        <w:rPr>
          <w:rFonts w:ascii="Calibri" w:hAnsi="Calibri"/>
          <w:bCs/>
          <w:sz w:val="24"/>
          <w:szCs w:val="24"/>
          <w:lang w:val="en-GB"/>
        </w:rPr>
      </w:pPr>
    </w:p>
    <w:p w:rsidR="00015021" w:rsidRPr="00747B86" w:rsidRDefault="00015021" w:rsidP="00015021">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015021" w:rsidRPr="00747B86" w:rsidRDefault="00015021" w:rsidP="00015021">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and will be marked out of 30 marks.</w:t>
      </w:r>
    </w:p>
    <w:p w:rsidR="00015021" w:rsidRPr="00747B86" w:rsidRDefault="00015021" w:rsidP="00015021">
      <w:pPr>
        <w:numPr>
          <w:ilvl w:val="0"/>
          <w:numId w:val="2"/>
        </w:numPr>
        <w:spacing w:after="0" w:line="240" w:lineRule="auto"/>
        <w:ind w:hanging="720"/>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4CA"/>
    <w:multiLevelType w:val="hybridMultilevel"/>
    <w:tmpl w:val="2DFA381C"/>
    <w:lvl w:ilvl="0" w:tplc="76BA3B04">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1F593D"/>
    <w:multiLevelType w:val="multilevel"/>
    <w:tmpl w:val="326A6CC8"/>
    <w:lvl w:ilvl="0">
      <w:start w:val="1"/>
      <w:numFmt w:val="decimal"/>
      <w:lvlText w:val="%1."/>
      <w:lvlJc w:val="left"/>
      <w:pPr>
        <w:tabs>
          <w:tab w:val="num" w:pos="720"/>
        </w:tabs>
        <w:ind w:left="720" w:hanging="360"/>
      </w:pPr>
    </w:lvl>
    <w:lvl w:ilvl="1">
      <w:start w:val="1"/>
      <w:numFmt w:val="decimal"/>
      <w:lvlText w:val="%2."/>
      <w:lvlJc w:val="left"/>
      <w:pPr>
        <w:tabs>
          <w:tab w:val="num" w:pos="1905"/>
        </w:tabs>
        <w:ind w:left="1905" w:hanging="8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F92089C"/>
    <w:multiLevelType w:val="hybridMultilevel"/>
    <w:tmpl w:val="D074887E"/>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21"/>
    <w:rsid w:val="00015021"/>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21"/>
  </w:style>
  <w:style w:type="paragraph" w:styleId="Heading2">
    <w:name w:val="heading 2"/>
    <w:basedOn w:val="Normal"/>
    <w:next w:val="Normal"/>
    <w:link w:val="Heading2Char"/>
    <w:uiPriority w:val="9"/>
    <w:unhideWhenUsed/>
    <w:qFormat/>
    <w:rsid w:val="000150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5021"/>
    <w:rPr>
      <w:rFonts w:asciiTheme="majorHAnsi" w:eastAsiaTheme="majorEastAsia" w:hAnsiTheme="majorHAnsi" w:cstheme="majorBidi"/>
      <w:b/>
      <w:bCs/>
      <w:color w:val="4F81BD" w:themeColor="accent1"/>
    </w:rPr>
  </w:style>
  <w:style w:type="paragraph" w:styleId="BodyText">
    <w:name w:val="Body Text"/>
    <w:basedOn w:val="Normal"/>
    <w:link w:val="BodyTextChar"/>
    <w:rsid w:val="0001502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5021"/>
    <w:rPr>
      <w:rFonts w:ascii="Times New Roman" w:eastAsia="Times New Roman" w:hAnsi="Times New Roman" w:cs="Times New Roman"/>
      <w:sz w:val="24"/>
      <w:szCs w:val="24"/>
    </w:rPr>
  </w:style>
  <w:style w:type="paragraph" w:styleId="ListParagraph">
    <w:name w:val="List Paragraph"/>
    <w:basedOn w:val="Normal"/>
    <w:uiPriority w:val="34"/>
    <w:qFormat/>
    <w:rsid w:val="00015021"/>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21"/>
  </w:style>
  <w:style w:type="paragraph" w:styleId="Heading2">
    <w:name w:val="heading 2"/>
    <w:basedOn w:val="Normal"/>
    <w:next w:val="Normal"/>
    <w:link w:val="Heading2Char"/>
    <w:uiPriority w:val="9"/>
    <w:unhideWhenUsed/>
    <w:qFormat/>
    <w:rsid w:val="000150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5021"/>
    <w:rPr>
      <w:rFonts w:asciiTheme="majorHAnsi" w:eastAsiaTheme="majorEastAsia" w:hAnsiTheme="majorHAnsi" w:cstheme="majorBidi"/>
      <w:b/>
      <w:bCs/>
      <w:color w:val="4F81BD" w:themeColor="accent1"/>
    </w:rPr>
  </w:style>
  <w:style w:type="paragraph" w:styleId="BodyText">
    <w:name w:val="Body Text"/>
    <w:basedOn w:val="Normal"/>
    <w:link w:val="BodyTextChar"/>
    <w:rsid w:val="0001502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5021"/>
    <w:rPr>
      <w:rFonts w:ascii="Times New Roman" w:eastAsia="Times New Roman" w:hAnsi="Times New Roman" w:cs="Times New Roman"/>
      <w:sz w:val="24"/>
      <w:szCs w:val="24"/>
    </w:rPr>
  </w:style>
  <w:style w:type="paragraph" w:styleId="ListParagraph">
    <w:name w:val="List Paragraph"/>
    <w:basedOn w:val="Normal"/>
    <w:uiPriority w:val="34"/>
    <w:qFormat/>
    <w:rsid w:val="00015021"/>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2014-07-22T08:34:00Z</dcterms:created>
  <dcterms:modified xsi:type="dcterms:W3CDTF">2014-07-22T08:34:00Z</dcterms:modified>
</cp:coreProperties>
</file>