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AA" w:rsidRPr="00747B86" w:rsidRDefault="00F820AA" w:rsidP="00F820AA">
      <w:pPr>
        <w:pStyle w:val="BodyText"/>
        <w:spacing w:line="240" w:lineRule="auto"/>
        <w:rPr>
          <w:rFonts w:ascii="Calibri" w:hAnsi="Calibri"/>
          <w:b/>
        </w:rPr>
      </w:pPr>
      <w:r w:rsidRPr="00747B86">
        <w:rPr>
          <w:rFonts w:ascii="Calibri" w:hAnsi="Calibri"/>
          <w:b/>
        </w:rPr>
        <w:t>LAW 1209</w:t>
      </w:r>
      <w:r w:rsidRPr="00747B86">
        <w:rPr>
          <w:rFonts w:ascii="Calibri" w:hAnsi="Calibri"/>
          <w:b/>
        </w:rPr>
        <w:tab/>
        <w:t>LAW OF CONTRACTS II</w:t>
      </w:r>
    </w:p>
    <w:p w:rsidR="00F820AA" w:rsidRPr="00747B86" w:rsidRDefault="00F820AA" w:rsidP="00F820AA">
      <w:pPr>
        <w:spacing w:after="0" w:line="240" w:lineRule="auto"/>
        <w:rPr>
          <w:rFonts w:ascii="Calibri" w:hAnsi="Calibri"/>
          <w:sz w:val="24"/>
          <w:szCs w:val="24"/>
        </w:rPr>
      </w:pPr>
    </w:p>
    <w:p w:rsidR="00F820AA" w:rsidRPr="00747B86" w:rsidRDefault="00F820AA" w:rsidP="00F820AA">
      <w:pPr>
        <w:spacing w:after="0" w:line="240" w:lineRule="auto"/>
        <w:rPr>
          <w:rFonts w:ascii="Calibri" w:hAnsi="Calibri"/>
          <w:b/>
          <w:sz w:val="24"/>
          <w:szCs w:val="24"/>
        </w:rPr>
      </w:pPr>
      <w:r w:rsidRPr="00747B86">
        <w:rPr>
          <w:rFonts w:ascii="Calibri" w:hAnsi="Calibri"/>
          <w:b/>
          <w:sz w:val="24"/>
          <w:szCs w:val="24"/>
        </w:rPr>
        <w:t>Course Description</w:t>
      </w:r>
    </w:p>
    <w:p w:rsidR="00F820AA" w:rsidRPr="00747B86" w:rsidRDefault="00F820AA" w:rsidP="00F820AA">
      <w:pPr>
        <w:spacing w:after="0" w:line="240" w:lineRule="auto"/>
        <w:rPr>
          <w:rFonts w:ascii="Calibri" w:hAnsi="Calibri"/>
          <w:sz w:val="24"/>
          <w:szCs w:val="24"/>
        </w:rPr>
      </w:pPr>
      <w:r w:rsidRPr="00747B86">
        <w:rPr>
          <w:rFonts w:ascii="Calibri" w:hAnsi="Calibri"/>
          <w:sz w:val="24"/>
          <w:szCs w:val="24"/>
        </w:rPr>
        <w:t xml:space="preserve">The course deals with matters related to private agreements including principles and procedures governing such agreements as well as remedies available to the parties in the event of a breach. The course should enable students understand the general principles relating to contractual liability, performance of contracts and effects of breach of contracts. </w:t>
      </w:r>
    </w:p>
    <w:p w:rsidR="00F820AA" w:rsidRPr="00747B86" w:rsidRDefault="00F820AA" w:rsidP="00F820AA">
      <w:pPr>
        <w:spacing w:after="0" w:line="240" w:lineRule="auto"/>
        <w:rPr>
          <w:rFonts w:ascii="Calibri" w:hAnsi="Calibri"/>
          <w:b/>
          <w:sz w:val="24"/>
          <w:szCs w:val="24"/>
        </w:rPr>
      </w:pPr>
    </w:p>
    <w:p w:rsidR="00F820AA" w:rsidRPr="00747B86" w:rsidRDefault="00F820AA" w:rsidP="00F820AA">
      <w:pPr>
        <w:spacing w:after="0" w:line="240" w:lineRule="auto"/>
        <w:rPr>
          <w:rFonts w:ascii="Calibri" w:hAnsi="Calibri"/>
          <w:b/>
          <w:sz w:val="24"/>
          <w:szCs w:val="24"/>
        </w:rPr>
      </w:pPr>
      <w:r w:rsidRPr="00747B86">
        <w:rPr>
          <w:rFonts w:ascii="Calibri" w:hAnsi="Calibri"/>
          <w:b/>
          <w:sz w:val="24"/>
          <w:szCs w:val="24"/>
        </w:rPr>
        <w:t>Course Content</w:t>
      </w:r>
    </w:p>
    <w:p w:rsidR="00F820AA" w:rsidRPr="00747B86" w:rsidRDefault="00F820AA" w:rsidP="00F820AA">
      <w:pPr>
        <w:spacing w:after="0" w:line="240" w:lineRule="auto"/>
        <w:rPr>
          <w:rFonts w:ascii="Calibri" w:hAnsi="Calibri"/>
          <w:sz w:val="24"/>
          <w:szCs w:val="24"/>
        </w:rPr>
      </w:pPr>
      <w:r w:rsidRPr="00747B86">
        <w:rPr>
          <w:rFonts w:ascii="Calibri" w:hAnsi="Calibri"/>
          <w:sz w:val="24"/>
          <w:szCs w:val="24"/>
        </w:rPr>
        <w:t>Reality of consent - mistake, duress, undue influence, misrepresentation; discharge of a contract - agreement, breach, performance, frustration; remedies for breach – damages, injunction, specific performance, rectification, rescission.</w:t>
      </w:r>
    </w:p>
    <w:p w:rsidR="00F820AA" w:rsidRPr="00747B86" w:rsidRDefault="00F820AA" w:rsidP="00F820AA">
      <w:pPr>
        <w:spacing w:after="0" w:line="240" w:lineRule="auto"/>
        <w:rPr>
          <w:rFonts w:ascii="Calibri" w:hAnsi="Calibri"/>
          <w:sz w:val="24"/>
          <w:szCs w:val="24"/>
        </w:rPr>
      </w:pPr>
    </w:p>
    <w:p w:rsidR="00F820AA" w:rsidRPr="00747B86" w:rsidRDefault="00F820AA" w:rsidP="00F820AA">
      <w:pPr>
        <w:spacing w:after="0" w:line="240" w:lineRule="auto"/>
        <w:rPr>
          <w:rFonts w:ascii="Calibri" w:hAnsi="Calibri"/>
          <w:b/>
          <w:sz w:val="24"/>
          <w:szCs w:val="24"/>
        </w:rPr>
      </w:pPr>
      <w:r w:rsidRPr="00747B86">
        <w:rPr>
          <w:rFonts w:ascii="Calibri" w:hAnsi="Calibri"/>
          <w:b/>
          <w:sz w:val="24"/>
          <w:szCs w:val="24"/>
        </w:rPr>
        <w:t>Course Objectives</w:t>
      </w:r>
    </w:p>
    <w:p w:rsidR="00F820AA" w:rsidRPr="00747B86" w:rsidRDefault="00F820AA" w:rsidP="00F820AA">
      <w:pPr>
        <w:numPr>
          <w:ilvl w:val="0"/>
          <w:numId w:val="1"/>
        </w:numPr>
        <w:spacing w:after="0" w:line="240" w:lineRule="auto"/>
        <w:jc w:val="both"/>
        <w:rPr>
          <w:rFonts w:ascii="Calibri" w:hAnsi="Calibri"/>
          <w:sz w:val="24"/>
          <w:szCs w:val="24"/>
        </w:rPr>
      </w:pPr>
      <w:r w:rsidRPr="00747B86">
        <w:rPr>
          <w:rFonts w:ascii="Calibri" w:hAnsi="Calibri"/>
          <w:sz w:val="24"/>
          <w:szCs w:val="24"/>
        </w:rPr>
        <w:t>To introduce students’ factors that lead to the execution of valid and enforceable contracts.</w:t>
      </w:r>
    </w:p>
    <w:p w:rsidR="00F820AA" w:rsidRPr="00747B86" w:rsidRDefault="00F820AA" w:rsidP="00F820AA">
      <w:pPr>
        <w:numPr>
          <w:ilvl w:val="0"/>
          <w:numId w:val="1"/>
        </w:numPr>
        <w:spacing w:after="0" w:line="240" w:lineRule="auto"/>
        <w:jc w:val="both"/>
        <w:rPr>
          <w:rFonts w:ascii="Calibri" w:hAnsi="Calibri"/>
          <w:sz w:val="24"/>
          <w:szCs w:val="24"/>
        </w:rPr>
      </w:pPr>
      <w:r w:rsidRPr="00747B86">
        <w:rPr>
          <w:rFonts w:ascii="Calibri" w:hAnsi="Calibri"/>
          <w:sz w:val="24"/>
          <w:szCs w:val="24"/>
        </w:rPr>
        <w:t>To make students know the contractual obligations of all parties to contracts.</w:t>
      </w:r>
    </w:p>
    <w:p w:rsidR="00F820AA" w:rsidRPr="00747B86" w:rsidRDefault="00F820AA" w:rsidP="00F820AA">
      <w:pPr>
        <w:numPr>
          <w:ilvl w:val="0"/>
          <w:numId w:val="1"/>
        </w:numPr>
        <w:spacing w:after="0" w:line="240" w:lineRule="auto"/>
        <w:jc w:val="both"/>
        <w:rPr>
          <w:rFonts w:ascii="Calibri" w:hAnsi="Calibri"/>
          <w:sz w:val="24"/>
          <w:szCs w:val="24"/>
        </w:rPr>
      </w:pPr>
      <w:r w:rsidRPr="00747B86">
        <w:rPr>
          <w:rFonts w:ascii="Calibri" w:hAnsi="Calibri"/>
          <w:sz w:val="24"/>
          <w:szCs w:val="24"/>
        </w:rPr>
        <w:t>To make students know the effect of breach of contracts and the remedies that are available to persons that are aggrieved by another party to the contract.</w:t>
      </w:r>
    </w:p>
    <w:p w:rsidR="00F820AA" w:rsidRPr="00747B86" w:rsidRDefault="00F820AA" w:rsidP="00F820AA">
      <w:pPr>
        <w:pStyle w:val="Heading3"/>
        <w:spacing w:before="0" w:line="240" w:lineRule="auto"/>
        <w:rPr>
          <w:rFonts w:ascii="Calibri" w:hAnsi="Calibri"/>
          <w:b w:val="0"/>
          <w:sz w:val="24"/>
          <w:szCs w:val="24"/>
          <w:u w:val="single"/>
        </w:rPr>
      </w:pPr>
      <w:bookmarkStart w:id="0" w:name="_Toc252450865"/>
      <w:bookmarkStart w:id="1" w:name="_Toc272475288"/>
    </w:p>
    <w:bookmarkEnd w:id="0"/>
    <w:bookmarkEnd w:id="1"/>
    <w:p w:rsidR="00F820AA" w:rsidRPr="00747B86" w:rsidRDefault="00F820AA" w:rsidP="00F820AA">
      <w:pPr>
        <w:spacing w:after="0" w:line="240" w:lineRule="auto"/>
        <w:rPr>
          <w:rFonts w:ascii="Calibri" w:hAnsi="Calibri"/>
          <w:b/>
          <w:sz w:val="24"/>
          <w:szCs w:val="24"/>
        </w:rPr>
      </w:pPr>
      <w:r w:rsidRPr="00747B86">
        <w:rPr>
          <w:rFonts w:ascii="Calibri" w:hAnsi="Calibri"/>
          <w:b/>
          <w:sz w:val="24"/>
          <w:szCs w:val="24"/>
        </w:rPr>
        <w:t>Learning Outcomes</w:t>
      </w:r>
    </w:p>
    <w:p w:rsidR="00F820AA" w:rsidRPr="00747B86" w:rsidRDefault="00F820AA" w:rsidP="00F820AA">
      <w:pPr>
        <w:spacing w:after="0" w:line="240" w:lineRule="auto"/>
        <w:rPr>
          <w:rFonts w:ascii="Calibri" w:hAnsi="Calibri"/>
          <w:sz w:val="24"/>
          <w:szCs w:val="24"/>
        </w:rPr>
      </w:pPr>
      <w:r w:rsidRPr="00747B86">
        <w:rPr>
          <w:rFonts w:ascii="Calibri" w:hAnsi="Calibri"/>
          <w:sz w:val="24"/>
          <w:szCs w:val="24"/>
        </w:rPr>
        <w:t>By the end of the course, the student should be able to:</w:t>
      </w:r>
    </w:p>
    <w:p w:rsidR="00F820AA" w:rsidRPr="00747B86" w:rsidRDefault="00F820AA" w:rsidP="00F820AA">
      <w:pPr>
        <w:numPr>
          <w:ilvl w:val="0"/>
          <w:numId w:val="2"/>
        </w:numPr>
        <w:spacing w:after="0" w:line="240" w:lineRule="auto"/>
        <w:jc w:val="both"/>
        <w:rPr>
          <w:rFonts w:ascii="Calibri" w:hAnsi="Calibri"/>
          <w:sz w:val="24"/>
          <w:szCs w:val="24"/>
        </w:rPr>
      </w:pPr>
      <w:r w:rsidRPr="00747B86">
        <w:rPr>
          <w:rFonts w:ascii="Calibri" w:hAnsi="Calibri"/>
          <w:sz w:val="24"/>
          <w:szCs w:val="24"/>
        </w:rPr>
        <w:t>Identify factors that affect validity of a contract.</w:t>
      </w:r>
    </w:p>
    <w:p w:rsidR="00F820AA" w:rsidRPr="00747B86" w:rsidRDefault="00F820AA" w:rsidP="00F820AA">
      <w:pPr>
        <w:numPr>
          <w:ilvl w:val="0"/>
          <w:numId w:val="2"/>
        </w:numPr>
        <w:spacing w:after="0" w:line="240" w:lineRule="auto"/>
        <w:jc w:val="both"/>
        <w:rPr>
          <w:rFonts w:ascii="Calibri" w:hAnsi="Calibri"/>
          <w:sz w:val="24"/>
          <w:szCs w:val="24"/>
        </w:rPr>
      </w:pPr>
      <w:r w:rsidRPr="00747B86">
        <w:rPr>
          <w:rFonts w:ascii="Calibri" w:hAnsi="Calibri"/>
          <w:sz w:val="24"/>
          <w:szCs w:val="24"/>
        </w:rPr>
        <w:t>Know various aspects of breach of contract.</w:t>
      </w:r>
    </w:p>
    <w:p w:rsidR="00F820AA" w:rsidRPr="00747B86" w:rsidRDefault="00F820AA" w:rsidP="00F820AA">
      <w:pPr>
        <w:numPr>
          <w:ilvl w:val="0"/>
          <w:numId w:val="2"/>
        </w:numPr>
        <w:spacing w:after="0" w:line="240" w:lineRule="auto"/>
        <w:jc w:val="both"/>
        <w:rPr>
          <w:rFonts w:ascii="Calibri" w:hAnsi="Calibri"/>
          <w:sz w:val="24"/>
          <w:szCs w:val="24"/>
        </w:rPr>
      </w:pPr>
      <w:r w:rsidRPr="00747B86">
        <w:rPr>
          <w:rFonts w:ascii="Calibri" w:hAnsi="Calibri"/>
          <w:sz w:val="24"/>
          <w:szCs w:val="24"/>
        </w:rPr>
        <w:t>Understand the appropriate remedies for breach of contract.</w:t>
      </w:r>
    </w:p>
    <w:p w:rsidR="00F820AA" w:rsidRPr="00747B86" w:rsidRDefault="00F820AA" w:rsidP="00F820AA">
      <w:pPr>
        <w:spacing w:after="0"/>
        <w:contextualSpacing/>
        <w:rPr>
          <w:rFonts w:ascii="Calibri" w:hAnsi="Calibri"/>
          <w:b/>
          <w:bCs/>
          <w:sz w:val="24"/>
          <w:szCs w:val="24"/>
          <w:lang w:val="en-GB"/>
        </w:rPr>
      </w:pPr>
    </w:p>
    <w:p w:rsidR="00F820AA" w:rsidRPr="00747B86" w:rsidRDefault="00F820AA" w:rsidP="00F820AA">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F820AA" w:rsidRPr="00747B86" w:rsidRDefault="00F820AA" w:rsidP="00F820AA">
      <w:pPr>
        <w:numPr>
          <w:ilvl w:val="0"/>
          <w:numId w:val="4"/>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given reading lists, which indicate the topics to be covered, and the respective reading materials for the respective topics.  It is expected that the student uses this list in preparation for each lecture.</w:t>
      </w:r>
    </w:p>
    <w:p w:rsidR="00F820AA" w:rsidRPr="00747B86" w:rsidRDefault="00F820AA" w:rsidP="00F820AA">
      <w:pPr>
        <w:numPr>
          <w:ilvl w:val="0"/>
          <w:numId w:val="4"/>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problems for discussion during the lectures.</w:t>
      </w:r>
    </w:p>
    <w:p w:rsidR="00F820AA" w:rsidRPr="00747B86" w:rsidRDefault="00F820AA" w:rsidP="00F820AA">
      <w:pPr>
        <w:spacing w:after="0"/>
        <w:contextualSpacing/>
        <w:rPr>
          <w:rFonts w:ascii="Calibri" w:hAnsi="Calibri"/>
          <w:b/>
          <w:bCs/>
          <w:sz w:val="24"/>
          <w:szCs w:val="24"/>
          <w:lang w:val="en-GB"/>
        </w:rPr>
      </w:pPr>
    </w:p>
    <w:p w:rsidR="00F820AA" w:rsidRPr="00747B86" w:rsidRDefault="00F820AA" w:rsidP="00F820AA">
      <w:pPr>
        <w:spacing w:after="0"/>
        <w:contextualSpacing/>
        <w:rPr>
          <w:rFonts w:ascii="Calibri" w:hAnsi="Calibri"/>
          <w:b/>
          <w:bCs/>
          <w:sz w:val="24"/>
          <w:szCs w:val="24"/>
          <w:lang w:val="en-GB"/>
        </w:rPr>
      </w:pPr>
      <w:r w:rsidRPr="00747B86">
        <w:rPr>
          <w:rFonts w:ascii="Calibri" w:hAnsi="Calibri"/>
          <w:b/>
          <w:bCs/>
          <w:sz w:val="24"/>
          <w:szCs w:val="24"/>
          <w:lang w:val="en-GB"/>
        </w:rPr>
        <w:t>Assessment</w:t>
      </w:r>
    </w:p>
    <w:p w:rsidR="00F820AA" w:rsidRPr="00747B86" w:rsidRDefault="00F820AA" w:rsidP="00F820AA">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F820AA" w:rsidRPr="00747B86" w:rsidRDefault="00F820AA" w:rsidP="00F820AA">
      <w:pPr>
        <w:numPr>
          <w:ilvl w:val="0"/>
          <w:numId w:val="3"/>
        </w:numPr>
        <w:spacing w:after="0" w:line="240" w:lineRule="auto"/>
        <w:ind w:hanging="720"/>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F861B5" w:rsidRDefault="00F861B5">
      <w:bookmarkStart w:id="2" w:name="_GoBack"/>
      <w:bookmarkEnd w:id="2"/>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307"/>
    <w:multiLevelType w:val="hybridMultilevel"/>
    <w:tmpl w:val="EC788118"/>
    <w:lvl w:ilvl="0" w:tplc="FB9E9604">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6D26F6"/>
    <w:multiLevelType w:val="hybridMultilevel"/>
    <w:tmpl w:val="A1081C14"/>
    <w:lvl w:ilvl="0" w:tplc="92320CF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D66501"/>
    <w:multiLevelType w:val="hybridMultilevel"/>
    <w:tmpl w:val="4C468940"/>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5426C"/>
    <w:multiLevelType w:val="hybridMultilevel"/>
    <w:tmpl w:val="C9A6834E"/>
    <w:lvl w:ilvl="0" w:tplc="D90E8562">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AA"/>
    <w:rsid w:val="00F820AA"/>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AA"/>
  </w:style>
  <w:style w:type="paragraph" w:styleId="Heading3">
    <w:name w:val="heading 3"/>
    <w:basedOn w:val="Normal"/>
    <w:next w:val="Normal"/>
    <w:link w:val="Heading3Char"/>
    <w:uiPriority w:val="9"/>
    <w:unhideWhenUsed/>
    <w:qFormat/>
    <w:rsid w:val="00F820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0AA"/>
    <w:rPr>
      <w:rFonts w:asciiTheme="majorHAnsi" w:eastAsiaTheme="majorEastAsia" w:hAnsiTheme="majorHAnsi" w:cstheme="majorBidi"/>
      <w:b/>
      <w:bCs/>
      <w:color w:val="4F81BD" w:themeColor="accent1"/>
    </w:rPr>
  </w:style>
  <w:style w:type="paragraph" w:styleId="BodyText">
    <w:name w:val="Body Text"/>
    <w:basedOn w:val="Normal"/>
    <w:link w:val="BodyTextChar"/>
    <w:rsid w:val="00F820A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20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AA"/>
  </w:style>
  <w:style w:type="paragraph" w:styleId="Heading3">
    <w:name w:val="heading 3"/>
    <w:basedOn w:val="Normal"/>
    <w:next w:val="Normal"/>
    <w:link w:val="Heading3Char"/>
    <w:uiPriority w:val="9"/>
    <w:unhideWhenUsed/>
    <w:qFormat/>
    <w:rsid w:val="00F820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0AA"/>
    <w:rPr>
      <w:rFonts w:asciiTheme="majorHAnsi" w:eastAsiaTheme="majorEastAsia" w:hAnsiTheme="majorHAnsi" w:cstheme="majorBidi"/>
      <w:b/>
      <w:bCs/>
      <w:color w:val="4F81BD" w:themeColor="accent1"/>
    </w:rPr>
  </w:style>
  <w:style w:type="paragraph" w:styleId="BodyText">
    <w:name w:val="Body Text"/>
    <w:basedOn w:val="Normal"/>
    <w:link w:val="BodyTextChar"/>
    <w:rsid w:val="00F820A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20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2014-07-22T08:49:00Z</dcterms:created>
  <dcterms:modified xsi:type="dcterms:W3CDTF">2014-07-22T08:49:00Z</dcterms:modified>
</cp:coreProperties>
</file>