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3E7" w:rsidRPr="00747B86" w:rsidRDefault="00FC13E7" w:rsidP="00FC13E7">
      <w:pPr>
        <w:spacing w:after="0" w:line="240" w:lineRule="auto"/>
        <w:rPr>
          <w:rFonts w:ascii="Calibri" w:hAnsi="Calibri"/>
          <w:b/>
          <w:sz w:val="24"/>
          <w:szCs w:val="24"/>
        </w:rPr>
      </w:pPr>
      <w:r w:rsidRPr="00747B86">
        <w:rPr>
          <w:rFonts w:ascii="Calibri" w:hAnsi="Calibri"/>
          <w:b/>
          <w:sz w:val="24"/>
          <w:szCs w:val="24"/>
        </w:rPr>
        <w:t>LAW 2207</w:t>
      </w:r>
      <w:r w:rsidRPr="00747B86">
        <w:rPr>
          <w:rFonts w:ascii="Calibri" w:hAnsi="Calibri"/>
          <w:b/>
          <w:sz w:val="24"/>
          <w:szCs w:val="24"/>
        </w:rPr>
        <w:tab/>
        <w:t xml:space="preserve">NEGLIGENCE AND STRICT LIABILITY </w:t>
      </w:r>
    </w:p>
    <w:p w:rsidR="00FC13E7" w:rsidRPr="00747B86" w:rsidRDefault="00FC13E7" w:rsidP="00FC13E7">
      <w:pPr>
        <w:pStyle w:val="BodyText"/>
        <w:spacing w:line="240" w:lineRule="auto"/>
        <w:contextualSpacing/>
        <w:rPr>
          <w:rFonts w:ascii="Calibri" w:hAnsi="Calibri"/>
          <w:b/>
        </w:rPr>
      </w:pPr>
    </w:p>
    <w:p w:rsidR="00FC13E7" w:rsidRPr="00747B86" w:rsidRDefault="00FC13E7" w:rsidP="00FC13E7">
      <w:pPr>
        <w:pStyle w:val="BodyText"/>
        <w:spacing w:line="240" w:lineRule="auto"/>
        <w:contextualSpacing/>
        <w:rPr>
          <w:rFonts w:ascii="Calibri" w:hAnsi="Calibri"/>
        </w:rPr>
      </w:pPr>
      <w:r w:rsidRPr="00747B86">
        <w:rPr>
          <w:rFonts w:ascii="Calibri" w:hAnsi="Calibri"/>
          <w:b/>
        </w:rPr>
        <w:t>Course Description</w:t>
      </w:r>
    </w:p>
    <w:p w:rsidR="00FC13E7" w:rsidRPr="00747B86" w:rsidRDefault="00FC13E7" w:rsidP="00FC13E7">
      <w:pPr>
        <w:pStyle w:val="BodyText"/>
        <w:spacing w:line="240" w:lineRule="auto"/>
        <w:contextualSpacing/>
        <w:rPr>
          <w:rFonts w:ascii="Calibri" w:hAnsi="Calibri"/>
        </w:rPr>
      </w:pPr>
      <w:r w:rsidRPr="00747B86">
        <w:rPr>
          <w:rFonts w:ascii="Calibri" w:hAnsi="Calibri"/>
        </w:rPr>
        <w:t>The course covers negligence and other forms violation of private rights and includes the remedies available aggrieved persons.</w:t>
      </w:r>
    </w:p>
    <w:p w:rsidR="00FC13E7" w:rsidRPr="00747B86" w:rsidRDefault="00FC13E7" w:rsidP="00FC13E7">
      <w:pPr>
        <w:pStyle w:val="BodyText"/>
        <w:spacing w:line="240" w:lineRule="auto"/>
        <w:contextualSpacing/>
        <w:rPr>
          <w:rFonts w:ascii="Calibri" w:hAnsi="Calibri"/>
        </w:rPr>
      </w:pPr>
    </w:p>
    <w:p w:rsidR="00FC13E7" w:rsidRPr="00747B86" w:rsidRDefault="00FC13E7" w:rsidP="00FC13E7">
      <w:pPr>
        <w:pStyle w:val="BodyText"/>
        <w:spacing w:line="240" w:lineRule="auto"/>
        <w:rPr>
          <w:rFonts w:ascii="Calibri" w:hAnsi="Calibri"/>
          <w:b/>
        </w:rPr>
      </w:pPr>
      <w:r w:rsidRPr="00747B86">
        <w:rPr>
          <w:rFonts w:ascii="Calibri" w:hAnsi="Calibri"/>
          <w:b/>
        </w:rPr>
        <w:t>Course Outline</w:t>
      </w:r>
    </w:p>
    <w:p w:rsidR="00FC13E7" w:rsidRPr="00747B86" w:rsidRDefault="00FC13E7" w:rsidP="00FC13E7">
      <w:pPr>
        <w:pStyle w:val="BodyText"/>
        <w:spacing w:line="240" w:lineRule="auto"/>
        <w:rPr>
          <w:rFonts w:ascii="Calibri" w:hAnsi="Calibri"/>
        </w:rPr>
      </w:pPr>
      <w:proofErr w:type="gramStart"/>
      <w:r w:rsidRPr="00747B86">
        <w:rPr>
          <w:rFonts w:ascii="Calibri" w:hAnsi="Calibri"/>
        </w:rPr>
        <w:t>Negligent invasions of interests in person and property; strict liability; invasions of privacy, nuisance.</w:t>
      </w:r>
      <w:proofErr w:type="gramEnd"/>
      <w:r w:rsidRPr="00747B86">
        <w:rPr>
          <w:rFonts w:ascii="Calibri" w:hAnsi="Calibri"/>
        </w:rPr>
        <w:t xml:space="preserve"> </w:t>
      </w:r>
      <w:proofErr w:type="gramStart"/>
      <w:r w:rsidRPr="00747B86">
        <w:rPr>
          <w:rFonts w:ascii="Calibri" w:hAnsi="Calibri"/>
        </w:rPr>
        <w:t>Occupier’s liability; procedural issues in the law of torts.</w:t>
      </w:r>
      <w:proofErr w:type="gramEnd"/>
    </w:p>
    <w:p w:rsidR="00FC13E7" w:rsidRPr="00747B86" w:rsidRDefault="00FC13E7" w:rsidP="00FC13E7">
      <w:pPr>
        <w:pStyle w:val="BodyText"/>
        <w:spacing w:line="240" w:lineRule="auto"/>
        <w:contextualSpacing/>
        <w:rPr>
          <w:rFonts w:ascii="Calibri" w:hAnsi="Calibri"/>
        </w:rPr>
      </w:pPr>
    </w:p>
    <w:p w:rsidR="00FC13E7" w:rsidRPr="00747B86" w:rsidRDefault="00FC13E7" w:rsidP="00FC13E7">
      <w:pPr>
        <w:spacing w:after="0" w:line="240" w:lineRule="auto"/>
        <w:contextualSpacing/>
        <w:rPr>
          <w:rFonts w:ascii="Calibri" w:hAnsi="Calibri"/>
          <w:b/>
          <w:sz w:val="24"/>
          <w:szCs w:val="24"/>
        </w:rPr>
      </w:pPr>
      <w:r w:rsidRPr="00747B86">
        <w:rPr>
          <w:rFonts w:ascii="Calibri" w:hAnsi="Calibri"/>
          <w:b/>
          <w:sz w:val="24"/>
          <w:szCs w:val="24"/>
        </w:rPr>
        <w:t>Course objectives</w:t>
      </w:r>
    </w:p>
    <w:p w:rsidR="00FC13E7" w:rsidRPr="00747B86" w:rsidRDefault="00FC13E7" w:rsidP="00FC13E7">
      <w:pPr>
        <w:spacing w:after="0" w:line="240" w:lineRule="auto"/>
        <w:ind w:left="720" w:hanging="720"/>
        <w:contextualSpacing/>
        <w:rPr>
          <w:rFonts w:ascii="Calibri" w:hAnsi="Calibri"/>
          <w:sz w:val="24"/>
          <w:szCs w:val="24"/>
        </w:rPr>
      </w:pPr>
      <w:r>
        <w:rPr>
          <w:rFonts w:ascii="Calibri" w:hAnsi="Calibri"/>
          <w:sz w:val="24"/>
          <w:szCs w:val="24"/>
        </w:rPr>
        <w:t>1.</w:t>
      </w:r>
      <w:r>
        <w:rPr>
          <w:rFonts w:ascii="Calibri" w:hAnsi="Calibri"/>
          <w:sz w:val="24"/>
          <w:szCs w:val="24"/>
        </w:rPr>
        <w:tab/>
        <w:t>To e</w:t>
      </w:r>
      <w:r w:rsidRPr="00747B86">
        <w:rPr>
          <w:rFonts w:ascii="Calibri" w:hAnsi="Calibri"/>
          <w:sz w:val="24"/>
          <w:szCs w:val="24"/>
        </w:rPr>
        <w:t>nable students to grasp the meaning of negligence as a cause of action as well as its socio-economic basis.</w:t>
      </w:r>
    </w:p>
    <w:p w:rsidR="00FC13E7" w:rsidRPr="00747B86" w:rsidRDefault="00FC13E7" w:rsidP="00FC13E7">
      <w:pPr>
        <w:spacing w:after="0" w:line="240" w:lineRule="auto"/>
        <w:ind w:left="720" w:hanging="720"/>
        <w:contextualSpacing/>
        <w:rPr>
          <w:rFonts w:ascii="Calibri" w:hAnsi="Calibri"/>
          <w:sz w:val="24"/>
          <w:szCs w:val="24"/>
        </w:rPr>
      </w:pPr>
      <w:r>
        <w:rPr>
          <w:rFonts w:ascii="Calibri" w:hAnsi="Calibri"/>
          <w:sz w:val="24"/>
          <w:szCs w:val="24"/>
        </w:rPr>
        <w:t>2.</w:t>
      </w:r>
      <w:r>
        <w:rPr>
          <w:rFonts w:ascii="Calibri" w:hAnsi="Calibri"/>
          <w:sz w:val="24"/>
          <w:szCs w:val="24"/>
        </w:rPr>
        <w:tab/>
        <w:t>To e</w:t>
      </w:r>
      <w:r w:rsidRPr="00747B86">
        <w:rPr>
          <w:rFonts w:ascii="Calibri" w:hAnsi="Calibri"/>
          <w:sz w:val="24"/>
          <w:szCs w:val="24"/>
        </w:rPr>
        <w:t>nable student to understand nuisance occupiers’ liability, private and public nuisance and strict liability and liability for fire and animals.</w:t>
      </w:r>
    </w:p>
    <w:p w:rsidR="00FC13E7" w:rsidRPr="00747B86" w:rsidRDefault="00FC13E7" w:rsidP="00FC13E7">
      <w:pPr>
        <w:spacing w:after="0" w:line="240" w:lineRule="auto"/>
        <w:ind w:left="720" w:hanging="720"/>
        <w:contextualSpacing/>
        <w:rPr>
          <w:rFonts w:ascii="Calibri" w:hAnsi="Calibri"/>
          <w:sz w:val="24"/>
          <w:szCs w:val="24"/>
        </w:rPr>
      </w:pPr>
      <w:r>
        <w:rPr>
          <w:rFonts w:ascii="Calibri" w:hAnsi="Calibri"/>
          <w:sz w:val="24"/>
          <w:szCs w:val="24"/>
        </w:rPr>
        <w:t>3.</w:t>
      </w:r>
      <w:r>
        <w:rPr>
          <w:rFonts w:ascii="Calibri" w:hAnsi="Calibri"/>
          <w:sz w:val="24"/>
          <w:szCs w:val="24"/>
        </w:rPr>
        <w:tab/>
        <w:t>To e</w:t>
      </w:r>
      <w:r w:rsidRPr="00747B86">
        <w:rPr>
          <w:rFonts w:ascii="Calibri" w:hAnsi="Calibri"/>
          <w:sz w:val="24"/>
          <w:szCs w:val="24"/>
        </w:rPr>
        <w:t>nable students to understand death as a cause of action and other provisions of the Law Reform (Miscellaneous Provisions) Act.</w:t>
      </w:r>
    </w:p>
    <w:p w:rsidR="00FC13E7" w:rsidRPr="00747B86" w:rsidRDefault="00FC13E7" w:rsidP="00FC13E7">
      <w:pPr>
        <w:spacing w:after="0" w:line="240" w:lineRule="auto"/>
        <w:ind w:left="720" w:hanging="720"/>
        <w:contextualSpacing/>
        <w:rPr>
          <w:rFonts w:ascii="Calibri" w:hAnsi="Calibri"/>
          <w:sz w:val="24"/>
          <w:szCs w:val="24"/>
        </w:rPr>
      </w:pPr>
    </w:p>
    <w:p w:rsidR="00FC13E7" w:rsidRPr="00747B86" w:rsidRDefault="00FC13E7" w:rsidP="00FC13E7">
      <w:pPr>
        <w:spacing w:after="0" w:line="240" w:lineRule="auto"/>
        <w:ind w:left="720" w:hanging="720"/>
        <w:contextualSpacing/>
        <w:rPr>
          <w:rFonts w:ascii="Calibri" w:hAnsi="Calibri"/>
          <w:b/>
          <w:sz w:val="24"/>
          <w:szCs w:val="24"/>
        </w:rPr>
      </w:pPr>
      <w:r w:rsidRPr="00747B86">
        <w:rPr>
          <w:rFonts w:ascii="Calibri" w:hAnsi="Calibri"/>
          <w:b/>
          <w:sz w:val="24"/>
          <w:szCs w:val="24"/>
        </w:rPr>
        <w:t>Learning Outcomes</w:t>
      </w:r>
    </w:p>
    <w:p w:rsidR="00FC13E7" w:rsidRPr="00747B86" w:rsidRDefault="00FC13E7" w:rsidP="00FC13E7">
      <w:pPr>
        <w:spacing w:after="0" w:line="240" w:lineRule="auto"/>
        <w:ind w:left="720"/>
        <w:contextualSpacing/>
        <w:rPr>
          <w:rFonts w:ascii="Calibri" w:hAnsi="Calibri"/>
          <w:sz w:val="24"/>
          <w:szCs w:val="24"/>
        </w:rPr>
      </w:pPr>
      <w:r w:rsidRPr="00747B86">
        <w:rPr>
          <w:rFonts w:ascii="Calibri" w:hAnsi="Calibri"/>
          <w:sz w:val="24"/>
          <w:szCs w:val="24"/>
        </w:rPr>
        <w:t>At the end of the course students should be able to:</w:t>
      </w:r>
    </w:p>
    <w:p w:rsidR="00FC13E7" w:rsidRPr="00747B86" w:rsidRDefault="00FC13E7" w:rsidP="00FC13E7">
      <w:pPr>
        <w:numPr>
          <w:ilvl w:val="0"/>
          <w:numId w:val="2"/>
        </w:numPr>
        <w:tabs>
          <w:tab w:val="clear" w:pos="360"/>
          <w:tab w:val="num" w:pos="720"/>
        </w:tabs>
        <w:spacing w:after="0" w:line="240" w:lineRule="auto"/>
        <w:ind w:left="720" w:hanging="720"/>
        <w:contextualSpacing/>
        <w:rPr>
          <w:rFonts w:ascii="Calibri" w:hAnsi="Calibri"/>
          <w:sz w:val="24"/>
          <w:szCs w:val="24"/>
        </w:rPr>
      </w:pPr>
      <w:r w:rsidRPr="00747B86">
        <w:rPr>
          <w:rFonts w:ascii="Calibri" w:hAnsi="Calibri"/>
          <w:sz w:val="24"/>
          <w:szCs w:val="24"/>
        </w:rPr>
        <w:t>Identify and explain the ingredients of, the remedies and defenses to an action of negligence</w:t>
      </w:r>
    </w:p>
    <w:p w:rsidR="00FC13E7" w:rsidRPr="00747B86" w:rsidRDefault="00FC13E7" w:rsidP="00FC13E7">
      <w:pPr>
        <w:numPr>
          <w:ilvl w:val="0"/>
          <w:numId w:val="2"/>
        </w:numPr>
        <w:tabs>
          <w:tab w:val="clear" w:pos="360"/>
          <w:tab w:val="num" w:pos="720"/>
        </w:tabs>
        <w:spacing w:after="0" w:line="240" w:lineRule="auto"/>
        <w:ind w:left="720" w:hanging="720"/>
        <w:contextualSpacing/>
        <w:rPr>
          <w:rFonts w:ascii="Calibri" w:hAnsi="Calibri"/>
          <w:sz w:val="24"/>
          <w:szCs w:val="24"/>
        </w:rPr>
      </w:pPr>
      <w:r w:rsidRPr="00747B86">
        <w:rPr>
          <w:rFonts w:ascii="Calibri" w:hAnsi="Calibri"/>
          <w:sz w:val="24"/>
          <w:szCs w:val="24"/>
        </w:rPr>
        <w:t>Identify and explain as well as distinguish between the torts of strict liability, public and private nuisance and occupiers’ liability, and liability for fire and animals.</w:t>
      </w:r>
    </w:p>
    <w:p w:rsidR="00FC13E7" w:rsidRPr="00747B86" w:rsidRDefault="00FC13E7" w:rsidP="00FC13E7">
      <w:pPr>
        <w:numPr>
          <w:ilvl w:val="0"/>
          <w:numId w:val="2"/>
        </w:numPr>
        <w:tabs>
          <w:tab w:val="clear" w:pos="360"/>
          <w:tab w:val="num" w:pos="720"/>
        </w:tabs>
        <w:spacing w:after="0" w:line="240" w:lineRule="auto"/>
        <w:ind w:left="720" w:hanging="720"/>
        <w:contextualSpacing/>
        <w:rPr>
          <w:rFonts w:ascii="Calibri" w:hAnsi="Calibri"/>
          <w:sz w:val="24"/>
          <w:szCs w:val="24"/>
        </w:rPr>
      </w:pPr>
      <w:r w:rsidRPr="00747B86">
        <w:rPr>
          <w:rFonts w:ascii="Calibri" w:hAnsi="Calibri"/>
          <w:sz w:val="24"/>
          <w:szCs w:val="24"/>
        </w:rPr>
        <w:t>Identity and appreciate the nature of death as a cause of action and certain procedural elements in relation to actions against the government.</w:t>
      </w:r>
    </w:p>
    <w:p w:rsidR="00FC13E7" w:rsidRPr="00747B86" w:rsidRDefault="00FC13E7" w:rsidP="00FC13E7">
      <w:pPr>
        <w:spacing w:after="0"/>
        <w:rPr>
          <w:rFonts w:ascii="Calibri" w:hAnsi="Calibri"/>
          <w:b/>
          <w:sz w:val="24"/>
          <w:szCs w:val="24"/>
        </w:rPr>
      </w:pPr>
    </w:p>
    <w:p w:rsidR="00FC13E7" w:rsidRPr="00747B86" w:rsidRDefault="00FC13E7" w:rsidP="00FC13E7">
      <w:pPr>
        <w:spacing w:after="0"/>
        <w:contextualSpacing/>
        <w:rPr>
          <w:rFonts w:ascii="Calibri" w:hAnsi="Calibri"/>
          <w:b/>
          <w:bCs/>
          <w:sz w:val="24"/>
          <w:szCs w:val="24"/>
          <w:lang w:val="en-GB"/>
        </w:rPr>
      </w:pPr>
      <w:r w:rsidRPr="00747B86">
        <w:rPr>
          <w:rFonts w:ascii="Calibri" w:hAnsi="Calibri"/>
          <w:b/>
          <w:bCs/>
          <w:sz w:val="24"/>
          <w:szCs w:val="24"/>
          <w:lang w:val="en-GB"/>
        </w:rPr>
        <w:t>Methods of Instruction</w:t>
      </w:r>
    </w:p>
    <w:p w:rsidR="00FC13E7" w:rsidRPr="00747B86" w:rsidRDefault="00FC13E7" w:rsidP="00FC13E7">
      <w:pPr>
        <w:numPr>
          <w:ilvl w:val="0"/>
          <w:numId w:val="3"/>
        </w:numPr>
        <w:tabs>
          <w:tab w:val="left" w:pos="720"/>
        </w:tabs>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At the commencement of the course, students are availed with reading lists, which indicate the topics to be covered, and the respective reading materials for the respective topics.  It is expected that the student uses this list in preparation for each lecture.</w:t>
      </w:r>
    </w:p>
    <w:p w:rsidR="00FC13E7" w:rsidRPr="00747B86" w:rsidRDefault="00FC13E7" w:rsidP="00FC13E7">
      <w:pPr>
        <w:numPr>
          <w:ilvl w:val="0"/>
          <w:numId w:val="3"/>
        </w:numPr>
        <w:tabs>
          <w:tab w:val="left" w:pos="720"/>
        </w:tabs>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The students are introduced to each topic and guided on the principles therein.  Thereafter, students will be given problems for discussion in class. Students are further encouraged to also formulate their problems for discussion during the lectures.</w:t>
      </w:r>
    </w:p>
    <w:p w:rsidR="00FC13E7" w:rsidRPr="00747B86" w:rsidRDefault="00FC13E7" w:rsidP="00FC13E7">
      <w:pPr>
        <w:spacing w:after="0" w:line="240" w:lineRule="auto"/>
        <w:ind w:left="720"/>
        <w:contextualSpacing/>
        <w:rPr>
          <w:rFonts w:ascii="Calibri" w:hAnsi="Calibri"/>
          <w:bCs/>
          <w:sz w:val="24"/>
          <w:szCs w:val="24"/>
          <w:lang w:val="en-GB"/>
        </w:rPr>
      </w:pPr>
    </w:p>
    <w:p w:rsidR="00FC13E7" w:rsidRPr="00747B86" w:rsidRDefault="00FC13E7" w:rsidP="00FC13E7">
      <w:pPr>
        <w:spacing w:after="0" w:line="240" w:lineRule="auto"/>
        <w:contextualSpacing/>
        <w:rPr>
          <w:rFonts w:ascii="Calibri" w:hAnsi="Calibri"/>
          <w:b/>
          <w:bCs/>
          <w:sz w:val="24"/>
          <w:szCs w:val="24"/>
          <w:lang w:val="en-GB"/>
        </w:rPr>
      </w:pPr>
      <w:r w:rsidRPr="00747B86">
        <w:rPr>
          <w:rFonts w:ascii="Calibri" w:hAnsi="Calibri"/>
          <w:b/>
          <w:bCs/>
          <w:sz w:val="24"/>
          <w:szCs w:val="24"/>
          <w:lang w:val="en-GB"/>
        </w:rPr>
        <w:t>Assessment</w:t>
      </w:r>
    </w:p>
    <w:p w:rsidR="00FC13E7" w:rsidRPr="00747B86" w:rsidRDefault="00FC13E7" w:rsidP="00FC13E7">
      <w:pPr>
        <w:numPr>
          <w:ilvl w:val="0"/>
          <w:numId w:val="1"/>
        </w:numPr>
        <w:tabs>
          <w:tab w:val="clear" w:pos="360"/>
          <w:tab w:val="left" w:pos="630"/>
          <w:tab w:val="num" w:pos="720"/>
        </w:tabs>
        <w:spacing w:after="0" w:line="240" w:lineRule="auto"/>
        <w:ind w:left="630" w:hanging="630"/>
        <w:contextualSpacing/>
        <w:jc w:val="both"/>
        <w:rPr>
          <w:rFonts w:ascii="Calibri" w:hAnsi="Calibri"/>
          <w:bCs/>
          <w:sz w:val="24"/>
          <w:szCs w:val="24"/>
          <w:lang w:val="en-GB"/>
        </w:rPr>
      </w:pPr>
      <w:r w:rsidRPr="00747B86">
        <w:rPr>
          <w:rFonts w:ascii="Calibri" w:hAnsi="Calibri"/>
          <w:bCs/>
          <w:sz w:val="24"/>
          <w:szCs w:val="24"/>
          <w:lang w:val="en-GB"/>
        </w:rPr>
        <w:t>A coursework will be administered during the coursework week to be marked out of 30 marks.</w:t>
      </w:r>
    </w:p>
    <w:p w:rsidR="00FC13E7" w:rsidRPr="00747B86" w:rsidRDefault="00FC13E7" w:rsidP="00FC13E7">
      <w:pPr>
        <w:numPr>
          <w:ilvl w:val="0"/>
          <w:numId w:val="1"/>
        </w:numPr>
        <w:tabs>
          <w:tab w:val="clear" w:pos="360"/>
          <w:tab w:val="left" w:pos="630"/>
          <w:tab w:val="num" w:pos="720"/>
        </w:tabs>
        <w:spacing w:after="0" w:line="240" w:lineRule="auto"/>
        <w:ind w:left="630" w:hanging="630"/>
        <w:contextualSpacing/>
        <w:rPr>
          <w:rFonts w:ascii="Calibri" w:hAnsi="Calibri"/>
          <w:bCs/>
          <w:sz w:val="24"/>
          <w:szCs w:val="24"/>
          <w:lang w:val="en-GB"/>
        </w:rPr>
      </w:pPr>
      <w:r w:rsidRPr="00747B86">
        <w:rPr>
          <w:rFonts w:ascii="Calibri" w:hAnsi="Calibri"/>
          <w:bCs/>
          <w:sz w:val="24"/>
          <w:szCs w:val="24"/>
          <w:lang w:val="en-GB"/>
        </w:rPr>
        <w:t xml:space="preserve">An examination will be given at the end of the semester to be marked out of 70 marks.  </w:t>
      </w:r>
    </w:p>
    <w:p w:rsidR="00FC13E7" w:rsidRPr="00747B86" w:rsidRDefault="00FC13E7" w:rsidP="00FC13E7">
      <w:pPr>
        <w:spacing w:after="0" w:line="240" w:lineRule="auto"/>
        <w:contextualSpacing/>
        <w:rPr>
          <w:rFonts w:ascii="Calibri" w:hAnsi="Calibri"/>
          <w:sz w:val="24"/>
          <w:szCs w:val="24"/>
        </w:rPr>
      </w:pPr>
    </w:p>
    <w:p w:rsidR="00F861B5" w:rsidRDefault="00F861B5">
      <w:bookmarkStart w:id="0" w:name="_GoBack"/>
      <w:bookmarkEnd w:id="0"/>
    </w:p>
    <w:sectPr w:rsidR="00F86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A2C53"/>
    <w:multiLevelType w:val="hybridMultilevel"/>
    <w:tmpl w:val="49A49962"/>
    <w:lvl w:ilvl="0" w:tplc="D90E8562">
      <w:start w:val="1"/>
      <w:numFmt w:val="decimal"/>
      <w:lvlText w:val="%1."/>
      <w:lvlJc w:val="left"/>
      <w:pPr>
        <w:tabs>
          <w:tab w:val="num" w:pos="360"/>
        </w:tabs>
        <w:ind w:left="360" w:hanging="360"/>
      </w:pPr>
      <w:rPr>
        <w:rFonts w:ascii="Times New Roman" w:eastAsia="Calibr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F825DD"/>
    <w:multiLevelType w:val="hybridMultilevel"/>
    <w:tmpl w:val="96085710"/>
    <w:lvl w:ilvl="0" w:tplc="76BA3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3F7543"/>
    <w:multiLevelType w:val="hybridMultilevel"/>
    <w:tmpl w:val="CF02376E"/>
    <w:lvl w:ilvl="0" w:tplc="D90E8562">
      <w:start w:val="1"/>
      <w:numFmt w:val="decimal"/>
      <w:lvlText w:val="%1."/>
      <w:lvlJc w:val="left"/>
      <w:pPr>
        <w:tabs>
          <w:tab w:val="num" w:pos="360"/>
        </w:tabs>
        <w:ind w:left="360" w:hanging="360"/>
      </w:pPr>
      <w:rPr>
        <w:rFonts w:ascii="Times New Roman" w:eastAsia="Calibr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3E7"/>
    <w:rsid w:val="00F861B5"/>
    <w:rsid w:val="00FC1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3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C13E7"/>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C13E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3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C13E7"/>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C13E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2014-07-22T09:23:00Z</dcterms:created>
  <dcterms:modified xsi:type="dcterms:W3CDTF">2014-07-22T09:23:00Z</dcterms:modified>
</cp:coreProperties>
</file>