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11" w:rsidRPr="00747B86" w:rsidRDefault="00BB4E11" w:rsidP="00BB4E11">
      <w:pPr>
        <w:spacing w:after="0" w:line="240" w:lineRule="auto"/>
        <w:rPr>
          <w:rFonts w:ascii="Calibri" w:hAnsi="Calibri"/>
          <w:b/>
          <w:sz w:val="24"/>
          <w:szCs w:val="24"/>
        </w:rPr>
      </w:pPr>
      <w:r w:rsidRPr="00747B86">
        <w:rPr>
          <w:rFonts w:ascii="Calibri" w:hAnsi="Calibri"/>
          <w:b/>
          <w:sz w:val="24"/>
          <w:szCs w:val="24"/>
        </w:rPr>
        <w:t>LAW 3110</w:t>
      </w:r>
      <w:r w:rsidRPr="00747B86">
        <w:rPr>
          <w:rFonts w:ascii="Calibri" w:hAnsi="Calibri"/>
          <w:b/>
          <w:sz w:val="24"/>
          <w:szCs w:val="24"/>
        </w:rPr>
        <w:tab/>
        <w:t xml:space="preserve">LAW OF SALE OF GOODS </w:t>
      </w:r>
    </w:p>
    <w:p w:rsidR="00BB4E11" w:rsidRPr="00747B86" w:rsidRDefault="00BB4E11" w:rsidP="00BB4E11">
      <w:pPr>
        <w:pStyle w:val="BodyText"/>
        <w:spacing w:line="240" w:lineRule="auto"/>
        <w:rPr>
          <w:rFonts w:ascii="Calibri" w:hAnsi="Calibri"/>
        </w:rPr>
      </w:pPr>
    </w:p>
    <w:p w:rsidR="00BB4E11" w:rsidRPr="00747B86" w:rsidRDefault="00BB4E11" w:rsidP="00BB4E11">
      <w:pPr>
        <w:pStyle w:val="BodyText"/>
        <w:spacing w:line="240" w:lineRule="auto"/>
        <w:rPr>
          <w:rFonts w:ascii="Calibri" w:hAnsi="Calibri"/>
          <w:b/>
        </w:rPr>
      </w:pPr>
      <w:r w:rsidRPr="00747B86">
        <w:rPr>
          <w:rFonts w:ascii="Calibri" w:hAnsi="Calibri"/>
          <w:b/>
        </w:rPr>
        <w:t>Course Description</w:t>
      </w:r>
    </w:p>
    <w:p w:rsidR="00BB4E11" w:rsidRPr="00747B86" w:rsidRDefault="00BB4E11" w:rsidP="00BB4E11">
      <w:pPr>
        <w:pStyle w:val="BodyText"/>
        <w:spacing w:line="240" w:lineRule="auto"/>
        <w:rPr>
          <w:rFonts w:ascii="Calibri" w:hAnsi="Calibri"/>
        </w:rPr>
      </w:pPr>
      <w:r w:rsidRPr="00747B86">
        <w:rPr>
          <w:rFonts w:ascii="Calibri" w:hAnsi="Calibri"/>
        </w:rPr>
        <w:t>The course covers the legal aspects relating to the contract of sale of goods.  It covers the rights and obligations of the party to contract of sale of goods.  It also gives the legal options where a party has failed in his/her or its obligations.</w:t>
      </w:r>
    </w:p>
    <w:p w:rsidR="00BB4E11" w:rsidRPr="00747B86" w:rsidRDefault="00BB4E11" w:rsidP="00BB4E11">
      <w:pPr>
        <w:pStyle w:val="BodyText"/>
        <w:spacing w:line="240" w:lineRule="auto"/>
        <w:rPr>
          <w:rFonts w:ascii="Calibri" w:hAnsi="Calibri"/>
        </w:rPr>
      </w:pPr>
    </w:p>
    <w:p w:rsidR="00BB4E11" w:rsidRPr="00747B86" w:rsidRDefault="00BB4E11" w:rsidP="00BB4E11">
      <w:pPr>
        <w:pStyle w:val="BodyText"/>
        <w:spacing w:line="240" w:lineRule="auto"/>
        <w:rPr>
          <w:rFonts w:ascii="Calibri" w:hAnsi="Calibri"/>
          <w:b/>
        </w:rPr>
      </w:pPr>
      <w:r w:rsidRPr="00747B86">
        <w:rPr>
          <w:rFonts w:ascii="Calibri" w:hAnsi="Calibri"/>
          <w:b/>
        </w:rPr>
        <w:t>Course Content</w:t>
      </w:r>
    </w:p>
    <w:p w:rsidR="00BB4E11" w:rsidRPr="00747B86" w:rsidRDefault="00BB4E11" w:rsidP="00BB4E11">
      <w:pPr>
        <w:pStyle w:val="BodyText"/>
        <w:spacing w:line="240" w:lineRule="auto"/>
        <w:rPr>
          <w:rFonts w:ascii="Calibri" w:hAnsi="Calibri"/>
        </w:rPr>
      </w:pPr>
      <w:r w:rsidRPr="00747B86">
        <w:rPr>
          <w:rFonts w:ascii="Calibri" w:hAnsi="Calibri"/>
        </w:rPr>
        <w:t xml:space="preserve">Introduction-Historical background and law applicable; definition, formation and nature of the contract of sale, comparison with other transactions, terms of the contract, fundamental terms, conditions and warranties, representations, transfer of property in specific goods and unascertained goods; risk and frustration, transfer of title by a non-owner </w:t>
      </w:r>
      <w:proofErr w:type="spellStart"/>
      <w:r w:rsidRPr="00747B86">
        <w:rPr>
          <w:rFonts w:ascii="Calibri" w:hAnsi="Calibri"/>
          <w:iCs/>
        </w:rPr>
        <w:t>Nemo</w:t>
      </w:r>
      <w:proofErr w:type="spellEnd"/>
      <w:r w:rsidRPr="00747B86">
        <w:rPr>
          <w:rFonts w:ascii="Calibri" w:hAnsi="Calibri"/>
          <w:iCs/>
        </w:rPr>
        <w:t xml:space="preserve"> </w:t>
      </w:r>
      <w:proofErr w:type="spellStart"/>
      <w:r w:rsidRPr="00747B86">
        <w:rPr>
          <w:rFonts w:ascii="Calibri" w:hAnsi="Calibri"/>
          <w:iCs/>
        </w:rPr>
        <w:t>dat</w:t>
      </w:r>
      <w:proofErr w:type="spellEnd"/>
      <w:r w:rsidRPr="00747B86">
        <w:rPr>
          <w:rFonts w:ascii="Calibri" w:hAnsi="Calibri"/>
          <w:iCs/>
        </w:rPr>
        <w:t xml:space="preserve"> quod non </w:t>
      </w:r>
      <w:proofErr w:type="spellStart"/>
      <w:r w:rsidRPr="00747B86">
        <w:rPr>
          <w:rFonts w:ascii="Calibri" w:hAnsi="Calibri"/>
          <w:iCs/>
        </w:rPr>
        <w:t>habet</w:t>
      </w:r>
      <w:proofErr w:type="spellEnd"/>
      <w:r w:rsidRPr="00747B86">
        <w:rPr>
          <w:rFonts w:ascii="Calibri" w:hAnsi="Calibri"/>
          <w:iCs/>
        </w:rPr>
        <w:t xml:space="preserve"> </w:t>
      </w:r>
      <w:r w:rsidRPr="00747B86">
        <w:rPr>
          <w:rFonts w:ascii="Calibri" w:hAnsi="Calibri"/>
        </w:rPr>
        <w:t xml:space="preserve">and its exception; duties of seller from </w:t>
      </w:r>
      <w:r w:rsidRPr="00747B86">
        <w:rPr>
          <w:rFonts w:ascii="Calibri" w:hAnsi="Calibri"/>
          <w:iCs/>
        </w:rPr>
        <w:t xml:space="preserve">caveat emptor to caveat </w:t>
      </w:r>
      <w:proofErr w:type="spellStart"/>
      <w:r w:rsidRPr="00747B86">
        <w:rPr>
          <w:rFonts w:ascii="Calibri" w:hAnsi="Calibri"/>
          <w:iCs/>
        </w:rPr>
        <w:t>venditor</w:t>
      </w:r>
      <w:proofErr w:type="spellEnd"/>
      <w:r w:rsidRPr="00747B86">
        <w:rPr>
          <w:rFonts w:ascii="Calibri" w:hAnsi="Calibri"/>
          <w:iCs/>
        </w:rPr>
        <w:t>.</w:t>
      </w:r>
      <w:r w:rsidRPr="00747B86">
        <w:rPr>
          <w:rFonts w:ascii="Calibri" w:hAnsi="Calibri"/>
        </w:rPr>
        <w:t xml:space="preserve"> </w:t>
      </w:r>
      <w:proofErr w:type="gramStart"/>
      <w:r w:rsidRPr="00747B86">
        <w:rPr>
          <w:rFonts w:ascii="Calibri" w:hAnsi="Calibri"/>
        </w:rPr>
        <w:t>Duties of the buyer, remedies of the unpaid seller and remedies of the buyer.</w:t>
      </w:r>
      <w:proofErr w:type="gramEnd"/>
    </w:p>
    <w:p w:rsidR="00BB4E11" w:rsidRPr="00747B86" w:rsidRDefault="00BB4E11" w:rsidP="00BB4E11">
      <w:pPr>
        <w:spacing w:after="0" w:line="240" w:lineRule="auto"/>
        <w:rPr>
          <w:rFonts w:ascii="Calibri" w:hAnsi="Calibri"/>
          <w:sz w:val="24"/>
          <w:szCs w:val="24"/>
        </w:rPr>
      </w:pPr>
    </w:p>
    <w:p w:rsidR="00BB4E11" w:rsidRPr="00747B86" w:rsidRDefault="00BB4E11" w:rsidP="00BB4E11">
      <w:pPr>
        <w:spacing w:after="0" w:line="240" w:lineRule="auto"/>
        <w:rPr>
          <w:rFonts w:ascii="Calibri" w:hAnsi="Calibri"/>
          <w:b/>
          <w:sz w:val="24"/>
          <w:szCs w:val="24"/>
        </w:rPr>
      </w:pPr>
      <w:r w:rsidRPr="00747B86">
        <w:rPr>
          <w:rFonts w:ascii="Calibri" w:hAnsi="Calibri"/>
          <w:b/>
          <w:sz w:val="24"/>
          <w:szCs w:val="24"/>
        </w:rPr>
        <w:t>Course Objectives</w:t>
      </w:r>
    </w:p>
    <w:p w:rsidR="00BB4E11" w:rsidRPr="00747B86" w:rsidRDefault="00BB4E11" w:rsidP="00BB4E11">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provide students with knowledge and appreciation of key legal issues relating to the sale of goods Ugandan Law;</w:t>
      </w:r>
    </w:p>
    <w:p w:rsidR="00BB4E11" w:rsidRPr="00747B86" w:rsidRDefault="00BB4E11" w:rsidP="00BB4E11">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facilitate an appreciation of the contractual and proprietary aspects of such contracts;</w:t>
      </w:r>
    </w:p>
    <w:p w:rsidR="00BB4E11" w:rsidRPr="00747B86" w:rsidRDefault="00BB4E11" w:rsidP="00BB4E11">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enable students to appreciate the differing requirements of Agreements to Sell and Contracts of Sale of Goods;</w:t>
      </w:r>
    </w:p>
    <w:p w:rsidR="00BB4E11" w:rsidRPr="00747B86" w:rsidRDefault="00BB4E11" w:rsidP="00BB4E11">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provide students with an awareness of current policy trends and developments in the law relating to the sale of goods;</w:t>
      </w:r>
    </w:p>
    <w:p w:rsidR="00BB4E11" w:rsidRPr="00747B86" w:rsidRDefault="00BB4E11" w:rsidP="00BB4E11">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encourage the development of students' skills in legal reasoning and analysis through study of Acts of Parliament, case law and law reform proposals in the context of the sale of goods.</w:t>
      </w:r>
    </w:p>
    <w:p w:rsidR="00BB4E11" w:rsidRPr="00747B86" w:rsidRDefault="00BB4E11" w:rsidP="00BB4E11">
      <w:pPr>
        <w:spacing w:after="0" w:line="240" w:lineRule="auto"/>
        <w:rPr>
          <w:rFonts w:ascii="Calibri" w:hAnsi="Calibri"/>
          <w:sz w:val="24"/>
          <w:szCs w:val="24"/>
        </w:rPr>
      </w:pPr>
    </w:p>
    <w:p w:rsidR="00BB4E11" w:rsidRPr="00747B86" w:rsidRDefault="00BB4E11" w:rsidP="00BB4E11">
      <w:pPr>
        <w:spacing w:after="0" w:line="240" w:lineRule="auto"/>
        <w:rPr>
          <w:rFonts w:ascii="Calibri" w:hAnsi="Calibri"/>
          <w:b/>
          <w:sz w:val="24"/>
          <w:szCs w:val="24"/>
        </w:rPr>
      </w:pPr>
      <w:r w:rsidRPr="00747B86">
        <w:rPr>
          <w:rFonts w:ascii="Calibri" w:hAnsi="Calibri"/>
          <w:b/>
          <w:sz w:val="24"/>
          <w:szCs w:val="24"/>
        </w:rPr>
        <w:t>Learning Outcomes</w:t>
      </w:r>
    </w:p>
    <w:p w:rsidR="00BB4E11" w:rsidRPr="00747B86" w:rsidRDefault="00BB4E11" w:rsidP="00BB4E11">
      <w:pPr>
        <w:tabs>
          <w:tab w:val="num" w:pos="540"/>
        </w:tabs>
        <w:spacing w:after="0" w:line="240" w:lineRule="auto"/>
        <w:ind w:left="540" w:hanging="540"/>
        <w:rPr>
          <w:rFonts w:ascii="Calibri" w:hAnsi="Calibri"/>
          <w:sz w:val="24"/>
          <w:szCs w:val="24"/>
        </w:rPr>
      </w:pPr>
      <w:r w:rsidRPr="00747B86">
        <w:rPr>
          <w:rFonts w:ascii="Calibri" w:hAnsi="Calibri"/>
          <w:sz w:val="24"/>
          <w:szCs w:val="24"/>
        </w:rPr>
        <w:t>At the end of the course, the students should be able to:</w:t>
      </w:r>
    </w:p>
    <w:p w:rsidR="00BB4E11" w:rsidRPr="00747B86" w:rsidRDefault="00BB4E11" w:rsidP="00BB4E11">
      <w:pPr>
        <w:numPr>
          <w:ilvl w:val="0"/>
          <w:numId w:val="1"/>
        </w:numPr>
        <w:spacing w:after="0" w:line="240" w:lineRule="auto"/>
        <w:ind w:hanging="720"/>
        <w:jc w:val="both"/>
        <w:rPr>
          <w:rFonts w:ascii="Calibri" w:hAnsi="Calibri"/>
          <w:sz w:val="24"/>
          <w:szCs w:val="24"/>
        </w:rPr>
      </w:pPr>
      <w:r w:rsidRPr="00747B86">
        <w:rPr>
          <w:rFonts w:ascii="Calibri" w:hAnsi="Calibri"/>
          <w:sz w:val="24"/>
          <w:szCs w:val="24"/>
        </w:rPr>
        <w:t>Articulate the fundamentals relating to the contract of sale of goods.</w:t>
      </w:r>
    </w:p>
    <w:p w:rsidR="00BB4E11" w:rsidRPr="00747B86" w:rsidRDefault="00BB4E11" w:rsidP="00BB4E11">
      <w:pPr>
        <w:numPr>
          <w:ilvl w:val="0"/>
          <w:numId w:val="1"/>
        </w:numPr>
        <w:spacing w:after="0" w:line="240" w:lineRule="auto"/>
        <w:ind w:hanging="720"/>
        <w:jc w:val="both"/>
        <w:rPr>
          <w:rFonts w:ascii="Calibri" w:hAnsi="Calibri"/>
          <w:sz w:val="24"/>
          <w:szCs w:val="24"/>
        </w:rPr>
      </w:pPr>
      <w:r w:rsidRPr="00747B86">
        <w:rPr>
          <w:rFonts w:ascii="Calibri" w:hAnsi="Calibri"/>
          <w:sz w:val="24"/>
          <w:szCs w:val="24"/>
        </w:rPr>
        <w:t>Identify obligations of parties to a particular contract of sale of goods.</w:t>
      </w:r>
    </w:p>
    <w:p w:rsidR="00BB4E11" w:rsidRPr="00747B86" w:rsidRDefault="00BB4E11" w:rsidP="00BB4E11">
      <w:pPr>
        <w:numPr>
          <w:ilvl w:val="0"/>
          <w:numId w:val="1"/>
        </w:numPr>
        <w:spacing w:after="0" w:line="240" w:lineRule="auto"/>
        <w:ind w:hanging="720"/>
        <w:jc w:val="both"/>
        <w:rPr>
          <w:rFonts w:ascii="Calibri" w:hAnsi="Calibri"/>
          <w:sz w:val="24"/>
          <w:szCs w:val="24"/>
        </w:rPr>
      </w:pPr>
      <w:r w:rsidRPr="00747B86">
        <w:rPr>
          <w:rFonts w:ascii="Calibri" w:hAnsi="Calibri"/>
          <w:sz w:val="24"/>
          <w:szCs w:val="24"/>
        </w:rPr>
        <w:t xml:space="preserve">Advise on the proper course of action where a party has failed to comply with the relevant obligations in a contract of sale of goods. </w:t>
      </w:r>
    </w:p>
    <w:p w:rsidR="00BB4E11" w:rsidRPr="00747B86" w:rsidRDefault="00BB4E11" w:rsidP="00BB4E11">
      <w:pPr>
        <w:spacing w:after="0" w:line="240" w:lineRule="auto"/>
        <w:rPr>
          <w:rFonts w:ascii="Calibri" w:hAnsi="Calibri"/>
          <w:sz w:val="24"/>
          <w:szCs w:val="24"/>
        </w:rPr>
      </w:pPr>
    </w:p>
    <w:p w:rsidR="00BB4E11" w:rsidRPr="00747B86" w:rsidRDefault="00BB4E11" w:rsidP="00BB4E11">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BB4E11" w:rsidRPr="00747B86" w:rsidRDefault="00BB4E11" w:rsidP="00BB4E11">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BB4E11" w:rsidRPr="00747B86" w:rsidRDefault="00BB4E11" w:rsidP="00BB4E11">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BB4E11" w:rsidRPr="00747B86" w:rsidRDefault="00BB4E11" w:rsidP="00BB4E11">
      <w:pPr>
        <w:spacing w:after="0" w:line="240" w:lineRule="auto"/>
        <w:ind w:left="720"/>
        <w:contextualSpacing/>
        <w:rPr>
          <w:rFonts w:ascii="Calibri" w:hAnsi="Calibri"/>
          <w:bCs/>
          <w:sz w:val="24"/>
          <w:szCs w:val="24"/>
          <w:lang w:val="en-GB"/>
        </w:rPr>
      </w:pPr>
    </w:p>
    <w:p w:rsidR="00BB4E11" w:rsidRPr="00747B86" w:rsidRDefault="00BB4E11" w:rsidP="00BB4E11">
      <w:pPr>
        <w:spacing w:after="0" w:line="240" w:lineRule="auto"/>
        <w:contextualSpacing/>
        <w:rPr>
          <w:rFonts w:ascii="Calibri" w:hAnsi="Calibri"/>
          <w:b/>
          <w:bCs/>
          <w:sz w:val="24"/>
          <w:szCs w:val="24"/>
          <w:lang w:val="en-GB"/>
        </w:rPr>
      </w:pPr>
      <w:r w:rsidRPr="00747B86">
        <w:rPr>
          <w:rFonts w:ascii="Calibri" w:hAnsi="Calibri"/>
          <w:b/>
          <w:bCs/>
          <w:sz w:val="24"/>
          <w:szCs w:val="24"/>
          <w:lang w:val="en-GB"/>
        </w:rPr>
        <w:lastRenderedPageBreak/>
        <w:t>Assessment</w:t>
      </w:r>
    </w:p>
    <w:p w:rsidR="00BB4E11" w:rsidRPr="00747B86" w:rsidRDefault="00BB4E11" w:rsidP="00BB4E11">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BB4E11" w:rsidRPr="00747B86" w:rsidRDefault="00BB4E11" w:rsidP="00BB4E11">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BB4E11" w:rsidRPr="00747B86" w:rsidRDefault="00BB4E11" w:rsidP="00BB4E11">
      <w:pPr>
        <w:pStyle w:val="1AutoList1"/>
        <w:tabs>
          <w:tab w:val="clear" w:pos="720"/>
        </w:tabs>
        <w:ind w:left="0"/>
        <w:rPr>
          <w:rFonts w:ascii="Calibri" w:hAnsi="Calibri"/>
          <w:b/>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00DE7"/>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57F9A"/>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02F2"/>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955A3"/>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11"/>
    <w:rsid w:val="00BB4E11"/>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E1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4E11"/>
    <w:rPr>
      <w:rFonts w:ascii="Times New Roman" w:eastAsia="Times New Roman" w:hAnsi="Times New Roman" w:cs="Times New Roman"/>
      <w:sz w:val="24"/>
      <w:szCs w:val="24"/>
    </w:rPr>
  </w:style>
  <w:style w:type="paragraph" w:customStyle="1" w:styleId="1AutoList1">
    <w:name w:val="1AutoList1"/>
    <w:rsid w:val="00BB4E1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E1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4E11"/>
    <w:rPr>
      <w:rFonts w:ascii="Times New Roman" w:eastAsia="Times New Roman" w:hAnsi="Times New Roman" w:cs="Times New Roman"/>
      <w:sz w:val="24"/>
      <w:szCs w:val="24"/>
    </w:rPr>
  </w:style>
  <w:style w:type="paragraph" w:customStyle="1" w:styleId="1AutoList1">
    <w:name w:val="1AutoList1"/>
    <w:rsid w:val="00BB4E1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2014-07-22T09:55:00Z</dcterms:created>
  <dcterms:modified xsi:type="dcterms:W3CDTF">2014-07-22T09:55:00Z</dcterms:modified>
</cp:coreProperties>
</file>