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6D" w:rsidRDefault="000C4C6D" w:rsidP="000C4C6D">
      <w:pPr>
        <w:pStyle w:val="1AutoList1"/>
        <w:tabs>
          <w:tab w:val="clear" w:pos="720"/>
        </w:tabs>
        <w:rPr>
          <w:rFonts w:ascii="Calibri" w:hAnsi="Calibri"/>
          <w:b/>
        </w:rPr>
      </w:pPr>
      <w:r>
        <w:rPr>
          <w:rFonts w:ascii="Calibri" w:hAnsi="Calibri"/>
          <w:b/>
        </w:rPr>
        <w:t>LAW 3111 Conflict of Laws</w:t>
      </w:r>
    </w:p>
    <w:p w:rsidR="000C4C6D" w:rsidRPr="00747B86" w:rsidRDefault="000C4C6D" w:rsidP="000C4C6D">
      <w:pPr>
        <w:pStyle w:val="BodyText"/>
        <w:spacing w:line="240" w:lineRule="auto"/>
        <w:rPr>
          <w:rFonts w:ascii="Calibri" w:hAnsi="Calibri"/>
          <w:b/>
        </w:rPr>
      </w:pPr>
      <w:r w:rsidRPr="00747B86">
        <w:rPr>
          <w:rFonts w:ascii="Calibri" w:hAnsi="Calibri"/>
          <w:b/>
        </w:rPr>
        <w:t>Course Description</w:t>
      </w:r>
    </w:p>
    <w:p w:rsidR="000C4C6D" w:rsidRPr="00747B86" w:rsidRDefault="000C4C6D" w:rsidP="000C4C6D">
      <w:pPr>
        <w:pStyle w:val="BodyText"/>
        <w:spacing w:line="240" w:lineRule="auto"/>
        <w:rPr>
          <w:rFonts w:ascii="Calibri" w:hAnsi="Calibri"/>
        </w:rPr>
      </w:pPr>
      <w:r w:rsidRPr="00747B86">
        <w:rPr>
          <w:rFonts w:ascii="Calibri" w:hAnsi="Calibri"/>
        </w:rPr>
        <w:t>This course covers the choice of laws where there are competing applicable laws depending on territorial jurisdictions.  The competing laws may relate to commercial transactions, domestic relations, property rights, enforcements of judgments.  The course guides students on how to ascertain the power in given situations of competing matters of state sovereignty.</w:t>
      </w:r>
    </w:p>
    <w:p w:rsidR="000C4C6D" w:rsidRPr="00747B86" w:rsidRDefault="000C4C6D" w:rsidP="000C4C6D">
      <w:pPr>
        <w:pStyle w:val="BodyText"/>
        <w:spacing w:line="240" w:lineRule="auto"/>
        <w:rPr>
          <w:rFonts w:ascii="Calibri" w:hAnsi="Calibri"/>
          <w:sz w:val="16"/>
          <w:szCs w:val="16"/>
        </w:rPr>
      </w:pPr>
    </w:p>
    <w:p w:rsidR="000C4C6D" w:rsidRPr="00747B86" w:rsidRDefault="000C4C6D" w:rsidP="000C4C6D">
      <w:pPr>
        <w:pStyle w:val="BodyText"/>
        <w:spacing w:line="240" w:lineRule="auto"/>
        <w:rPr>
          <w:rFonts w:ascii="Calibri" w:hAnsi="Calibri"/>
          <w:b/>
        </w:rPr>
      </w:pPr>
      <w:r w:rsidRPr="00747B86">
        <w:rPr>
          <w:rFonts w:ascii="Calibri" w:hAnsi="Calibri"/>
          <w:b/>
        </w:rPr>
        <w:t>Course Content</w:t>
      </w:r>
    </w:p>
    <w:p w:rsidR="000C4C6D" w:rsidRPr="00747B86" w:rsidRDefault="000C4C6D" w:rsidP="000C4C6D">
      <w:pPr>
        <w:pStyle w:val="BodyText"/>
        <w:spacing w:line="240" w:lineRule="auto"/>
        <w:rPr>
          <w:rFonts w:ascii="Calibri" w:hAnsi="Calibri"/>
        </w:rPr>
      </w:pPr>
      <w:r w:rsidRPr="00747B86">
        <w:rPr>
          <w:rFonts w:ascii="Calibri" w:hAnsi="Calibri"/>
        </w:rPr>
        <w:t xml:space="preserve">Specific topics covered in the subject include determination of jurisdiction in civil matters, impeachment defenses to the recognition and enforcement of foreign judgments, forum non </w:t>
      </w:r>
      <w:proofErr w:type="spellStart"/>
      <w:r w:rsidRPr="00747B86">
        <w:rPr>
          <w:rFonts w:ascii="Calibri" w:hAnsi="Calibri"/>
        </w:rPr>
        <w:t>conveniens</w:t>
      </w:r>
      <w:proofErr w:type="spellEnd"/>
      <w:r w:rsidRPr="00747B86">
        <w:rPr>
          <w:rFonts w:ascii="Calibri" w:hAnsi="Calibri"/>
        </w:rPr>
        <w:t xml:space="preserve">, domicile, classification, </w:t>
      </w:r>
      <w:proofErr w:type="spellStart"/>
      <w:r w:rsidRPr="00747B86">
        <w:rPr>
          <w:rFonts w:ascii="Calibri" w:hAnsi="Calibri"/>
        </w:rPr>
        <w:t>renvoi</w:t>
      </w:r>
      <w:proofErr w:type="spellEnd"/>
      <w:r w:rsidRPr="00747B86">
        <w:rPr>
          <w:rFonts w:ascii="Calibri" w:hAnsi="Calibri"/>
        </w:rPr>
        <w:t>, choice of law (in tort, contract, property and matrimonial matters), succession, the revenue law rule, and comity.</w:t>
      </w:r>
    </w:p>
    <w:p w:rsidR="000C4C6D" w:rsidRPr="00747B86" w:rsidRDefault="000C4C6D" w:rsidP="000C4C6D">
      <w:pPr>
        <w:pStyle w:val="NormalWeb"/>
        <w:spacing w:before="0" w:beforeAutospacing="0" w:after="0" w:afterAutospacing="0"/>
        <w:contextualSpacing/>
        <w:rPr>
          <w:rFonts w:ascii="Calibri" w:hAnsi="Calibri"/>
          <w:b/>
          <w:bCs/>
          <w:color w:val="333333"/>
          <w:sz w:val="16"/>
          <w:szCs w:val="16"/>
        </w:rPr>
      </w:pPr>
    </w:p>
    <w:p w:rsidR="000C4C6D" w:rsidRPr="00747B86" w:rsidRDefault="000C4C6D" w:rsidP="000C4C6D">
      <w:pPr>
        <w:pStyle w:val="NormalWeb"/>
        <w:spacing w:before="0" w:beforeAutospacing="0" w:after="0" w:afterAutospacing="0"/>
        <w:contextualSpacing/>
        <w:jc w:val="both"/>
        <w:rPr>
          <w:rFonts w:ascii="Calibri" w:hAnsi="Calibri"/>
          <w:b/>
          <w:bCs/>
          <w:color w:val="333333"/>
        </w:rPr>
      </w:pPr>
      <w:r w:rsidRPr="00747B86">
        <w:rPr>
          <w:rFonts w:ascii="Calibri" w:hAnsi="Calibri"/>
          <w:b/>
          <w:bCs/>
          <w:color w:val="333333"/>
        </w:rPr>
        <w:t xml:space="preserve">Course Objectives </w:t>
      </w:r>
    </w:p>
    <w:p w:rsidR="000C4C6D" w:rsidRPr="00747B86" w:rsidRDefault="000C4C6D" w:rsidP="000C4C6D">
      <w:pPr>
        <w:pStyle w:val="NormalWeb"/>
        <w:tabs>
          <w:tab w:val="left" w:pos="0"/>
        </w:tabs>
        <w:spacing w:before="0" w:beforeAutospacing="0" w:after="0" w:afterAutospacing="0"/>
        <w:contextualSpacing/>
        <w:jc w:val="both"/>
        <w:rPr>
          <w:rFonts w:ascii="Calibri" w:hAnsi="Calibri"/>
          <w:color w:val="333333"/>
        </w:rPr>
      </w:pPr>
      <w:r w:rsidRPr="00747B86">
        <w:rPr>
          <w:rFonts w:ascii="Calibri" w:hAnsi="Calibri"/>
          <w:color w:val="333333"/>
        </w:rPr>
        <w:t>The principal aim of the course is to enable students to understand how to determine, inter alia:</w:t>
      </w:r>
    </w:p>
    <w:p w:rsidR="000C4C6D" w:rsidRPr="00747B86" w:rsidRDefault="000C4C6D" w:rsidP="000C4C6D">
      <w:pPr>
        <w:pStyle w:val="NormalWeb"/>
        <w:numPr>
          <w:ilvl w:val="0"/>
          <w:numId w:val="1"/>
        </w:numPr>
        <w:tabs>
          <w:tab w:val="left" w:pos="360"/>
        </w:tabs>
        <w:spacing w:before="0" w:beforeAutospacing="0" w:after="0" w:afterAutospacing="0"/>
        <w:ind w:hanging="720"/>
        <w:contextualSpacing/>
        <w:jc w:val="both"/>
        <w:rPr>
          <w:rFonts w:ascii="Calibri" w:hAnsi="Calibri"/>
          <w:color w:val="333333"/>
        </w:rPr>
      </w:pPr>
      <w:r w:rsidRPr="00747B86">
        <w:rPr>
          <w:rFonts w:ascii="Calibri" w:hAnsi="Calibri"/>
          <w:color w:val="333333"/>
        </w:rPr>
        <w:t>When courts will assume jurisdiction to decide cases with `foreign' elements;</w:t>
      </w:r>
    </w:p>
    <w:p w:rsidR="000C4C6D" w:rsidRPr="00747B86" w:rsidRDefault="000C4C6D" w:rsidP="000C4C6D">
      <w:pPr>
        <w:pStyle w:val="NormalWeb"/>
        <w:numPr>
          <w:ilvl w:val="0"/>
          <w:numId w:val="1"/>
        </w:numPr>
        <w:tabs>
          <w:tab w:val="left" w:pos="360"/>
        </w:tabs>
        <w:spacing w:before="0" w:beforeAutospacing="0" w:after="0" w:afterAutospacing="0"/>
        <w:ind w:hanging="720"/>
        <w:contextualSpacing/>
        <w:jc w:val="both"/>
        <w:rPr>
          <w:rFonts w:ascii="Calibri" w:hAnsi="Calibri"/>
          <w:color w:val="333333"/>
        </w:rPr>
      </w:pPr>
      <w:r w:rsidRPr="00747B86">
        <w:rPr>
          <w:rFonts w:ascii="Calibri" w:hAnsi="Calibri"/>
          <w:color w:val="333333"/>
        </w:rPr>
        <w:t>When courts will recognize or enforce the judgments of courts from other jurisdictions; and</w:t>
      </w:r>
    </w:p>
    <w:p w:rsidR="000C4C6D" w:rsidRPr="00747B86" w:rsidRDefault="000C4C6D" w:rsidP="000C4C6D">
      <w:pPr>
        <w:pStyle w:val="NormalWeb"/>
        <w:numPr>
          <w:ilvl w:val="0"/>
          <w:numId w:val="1"/>
        </w:numPr>
        <w:tabs>
          <w:tab w:val="left" w:pos="360"/>
        </w:tabs>
        <w:spacing w:before="0" w:beforeAutospacing="0" w:after="0" w:afterAutospacing="0"/>
        <w:ind w:hanging="720"/>
        <w:contextualSpacing/>
        <w:jc w:val="both"/>
        <w:rPr>
          <w:rFonts w:ascii="Calibri" w:hAnsi="Calibri"/>
          <w:color w:val="333333"/>
        </w:rPr>
      </w:pPr>
      <w:r w:rsidRPr="00747B86">
        <w:rPr>
          <w:rFonts w:ascii="Calibri" w:hAnsi="Calibri"/>
          <w:color w:val="333333"/>
        </w:rPr>
        <w:t xml:space="preserve">How to choose which legal system's substantive law will govern the resolution of issues in dispute. </w:t>
      </w:r>
    </w:p>
    <w:p w:rsidR="000C4C6D" w:rsidRPr="00747B86" w:rsidRDefault="000C4C6D" w:rsidP="000C4C6D">
      <w:pPr>
        <w:pStyle w:val="NormalWeb"/>
        <w:spacing w:before="0" w:beforeAutospacing="0" w:after="0" w:afterAutospacing="0"/>
        <w:contextualSpacing/>
        <w:jc w:val="both"/>
        <w:rPr>
          <w:rFonts w:ascii="Calibri" w:hAnsi="Calibri"/>
          <w:b/>
          <w:bCs/>
          <w:color w:val="333333"/>
          <w:sz w:val="16"/>
          <w:szCs w:val="16"/>
        </w:rPr>
      </w:pPr>
    </w:p>
    <w:p w:rsidR="000C4C6D" w:rsidRPr="00747B86" w:rsidRDefault="000C4C6D" w:rsidP="000C4C6D">
      <w:pPr>
        <w:pStyle w:val="NormalWeb"/>
        <w:spacing w:before="0" w:beforeAutospacing="0" w:after="0" w:afterAutospacing="0"/>
        <w:contextualSpacing/>
        <w:jc w:val="both"/>
        <w:rPr>
          <w:rFonts w:ascii="Calibri" w:hAnsi="Calibri"/>
          <w:b/>
          <w:bCs/>
          <w:color w:val="333333"/>
        </w:rPr>
      </w:pPr>
      <w:r w:rsidRPr="00747B86">
        <w:rPr>
          <w:rFonts w:ascii="Calibri" w:hAnsi="Calibri"/>
          <w:b/>
          <w:bCs/>
          <w:color w:val="333333"/>
        </w:rPr>
        <w:t>Learning Outcomes</w:t>
      </w:r>
    </w:p>
    <w:p w:rsidR="000C4C6D" w:rsidRPr="00747B86" w:rsidRDefault="000C4C6D" w:rsidP="000C4C6D">
      <w:pPr>
        <w:pStyle w:val="NormalWeb"/>
        <w:spacing w:before="0" w:beforeAutospacing="0" w:after="0" w:afterAutospacing="0"/>
        <w:contextualSpacing/>
        <w:jc w:val="both"/>
        <w:rPr>
          <w:rFonts w:ascii="Calibri" w:hAnsi="Calibri"/>
          <w:color w:val="333333"/>
        </w:rPr>
      </w:pPr>
      <w:r w:rsidRPr="00747B86">
        <w:rPr>
          <w:rFonts w:ascii="Calibri" w:hAnsi="Calibri"/>
          <w:color w:val="333333"/>
        </w:rPr>
        <w:t xml:space="preserve">The course is designed to equip students with a good appreciation/understanding of the concepts and doctrines of the subject to enable them guide courts in the selection of jurisdiction; determination of when and whether a given court should recognize and enforce a foreign judgment or not; and how the process of selection of the applicable law is undertaken in the resolution of disputes with foreign connections. </w:t>
      </w:r>
    </w:p>
    <w:p w:rsidR="000C4C6D" w:rsidRPr="00747B86" w:rsidRDefault="000C4C6D" w:rsidP="000C4C6D">
      <w:pPr>
        <w:pStyle w:val="NormalWeb"/>
        <w:spacing w:before="0" w:beforeAutospacing="0" w:after="0" w:afterAutospacing="0"/>
        <w:contextualSpacing/>
        <w:jc w:val="both"/>
        <w:rPr>
          <w:rFonts w:ascii="Calibri" w:hAnsi="Calibri"/>
          <w:color w:val="333333"/>
          <w:sz w:val="16"/>
          <w:szCs w:val="16"/>
        </w:rPr>
      </w:pPr>
    </w:p>
    <w:p w:rsidR="000C4C6D" w:rsidRPr="00747B86" w:rsidRDefault="000C4C6D" w:rsidP="000C4C6D">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0C4C6D" w:rsidRPr="00747B86" w:rsidRDefault="000C4C6D" w:rsidP="000C4C6D">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0C4C6D" w:rsidRPr="00747B86" w:rsidRDefault="000C4C6D" w:rsidP="000C4C6D">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0C4C6D" w:rsidRPr="00747B86" w:rsidRDefault="000C4C6D" w:rsidP="000C4C6D">
      <w:pPr>
        <w:spacing w:after="0" w:line="240" w:lineRule="auto"/>
        <w:ind w:left="720"/>
        <w:contextualSpacing/>
        <w:rPr>
          <w:rFonts w:ascii="Calibri" w:hAnsi="Calibri"/>
          <w:bCs/>
          <w:sz w:val="24"/>
          <w:szCs w:val="24"/>
          <w:lang w:val="en-GB"/>
        </w:rPr>
      </w:pPr>
    </w:p>
    <w:p w:rsidR="000C4C6D" w:rsidRPr="00747B86" w:rsidRDefault="000C4C6D" w:rsidP="000C4C6D">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0C4C6D" w:rsidRPr="00747B86" w:rsidRDefault="000C4C6D" w:rsidP="000C4C6D">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0C4C6D" w:rsidRPr="00747B86" w:rsidRDefault="000C4C6D" w:rsidP="000C4C6D">
      <w:pPr>
        <w:pStyle w:val="NormalWeb"/>
        <w:numPr>
          <w:ilvl w:val="0"/>
          <w:numId w:val="2"/>
        </w:numPr>
        <w:spacing w:before="0" w:beforeAutospacing="0" w:after="0" w:afterAutospacing="0"/>
        <w:ind w:hanging="720"/>
        <w:contextualSpacing/>
        <w:jc w:val="both"/>
        <w:rPr>
          <w:rFonts w:ascii="Calibri" w:hAnsi="Calibri"/>
          <w:color w:val="333333"/>
        </w:rPr>
      </w:pPr>
      <w:r w:rsidRPr="00747B86">
        <w:rPr>
          <w:rFonts w:ascii="Calibri" w:hAnsi="Calibri"/>
          <w:bCs/>
          <w:lang w:val="en-GB"/>
        </w:rPr>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935"/>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44778"/>
    <w:multiLevelType w:val="hybridMultilevel"/>
    <w:tmpl w:val="0DCC9EB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60945"/>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6D"/>
    <w:rsid w:val="000C4C6D"/>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C6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4C6D"/>
    <w:rPr>
      <w:rFonts w:ascii="Times New Roman" w:eastAsia="Times New Roman" w:hAnsi="Times New Roman" w:cs="Times New Roman"/>
      <w:sz w:val="24"/>
      <w:szCs w:val="24"/>
    </w:rPr>
  </w:style>
  <w:style w:type="paragraph" w:styleId="NormalWeb">
    <w:name w:val="Normal (Web)"/>
    <w:basedOn w:val="Normal"/>
    <w:uiPriority w:val="99"/>
    <w:rsid w:val="000C4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utoList1">
    <w:name w:val="1AutoList1"/>
    <w:rsid w:val="000C4C6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C6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4C6D"/>
    <w:rPr>
      <w:rFonts w:ascii="Times New Roman" w:eastAsia="Times New Roman" w:hAnsi="Times New Roman" w:cs="Times New Roman"/>
      <w:sz w:val="24"/>
      <w:szCs w:val="24"/>
    </w:rPr>
  </w:style>
  <w:style w:type="paragraph" w:styleId="NormalWeb">
    <w:name w:val="Normal (Web)"/>
    <w:basedOn w:val="Normal"/>
    <w:uiPriority w:val="99"/>
    <w:rsid w:val="000C4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utoList1">
    <w:name w:val="1AutoList1"/>
    <w:rsid w:val="000C4C6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2014-07-22T09:58:00Z</dcterms:created>
  <dcterms:modified xsi:type="dcterms:W3CDTF">2014-07-22T09:58:00Z</dcterms:modified>
</cp:coreProperties>
</file>