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55" w:rsidRPr="00747B86" w:rsidRDefault="00101F55" w:rsidP="00101F55">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t>
      </w:r>
      <w:r>
        <w:rPr>
          <w:rFonts w:ascii="Calibri" w:hAnsi="Calibri" w:cs="Times New Roman"/>
          <w:bCs w:val="0"/>
          <w:iCs/>
          <w:sz w:val="24"/>
          <w:szCs w:val="24"/>
        </w:rPr>
        <w:t>W 4217</w:t>
      </w:r>
      <w:r>
        <w:rPr>
          <w:rFonts w:ascii="Calibri" w:hAnsi="Calibri" w:cs="Times New Roman"/>
          <w:bCs w:val="0"/>
          <w:iCs/>
          <w:sz w:val="24"/>
          <w:szCs w:val="24"/>
        </w:rPr>
        <w:tab/>
      </w:r>
      <w:bookmarkStart w:id="0" w:name="_GoBack"/>
      <w:r>
        <w:rPr>
          <w:rFonts w:ascii="Calibri" w:hAnsi="Calibri" w:cs="Times New Roman"/>
          <w:bCs w:val="0"/>
          <w:iCs/>
          <w:sz w:val="24"/>
          <w:szCs w:val="24"/>
        </w:rPr>
        <w:t>CRIMINOLOGY AND PENOLOGY</w:t>
      </w:r>
      <w:bookmarkEnd w:id="0"/>
    </w:p>
    <w:p w:rsidR="00101F55" w:rsidRPr="00747B86" w:rsidRDefault="00101F55" w:rsidP="00101F55">
      <w:pPr>
        <w:pStyle w:val="BodyText"/>
        <w:spacing w:line="240" w:lineRule="auto"/>
        <w:rPr>
          <w:rFonts w:ascii="Calibri" w:hAnsi="Calibri"/>
        </w:rPr>
      </w:pPr>
    </w:p>
    <w:p w:rsidR="00101F55" w:rsidRPr="00747B86" w:rsidRDefault="00101F55" w:rsidP="00101F55">
      <w:pPr>
        <w:pStyle w:val="BodyText"/>
        <w:spacing w:line="240" w:lineRule="auto"/>
        <w:rPr>
          <w:rFonts w:ascii="Calibri" w:hAnsi="Calibri"/>
        </w:rPr>
      </w:pPr>
      <w:r w:rsidRPr="00747B86">
        <w:rPr>
          <w:rFonts w:ascii="Calibri" w:hAnsi="Calibri"/>
        </w:rPr>
        <w:t xml:space="preserve">The development of modern criminology and penology; The phenomenon of crime; criminal statistics; Etiology of crime; Crime psychiatry; Prevention of crime; Criminal policy; Problems in law enforcement and administration of justice, public attitudes towards crime and offenders; </w:t>
      </w:r>
      <w:proofErr w:type="spellStart"/>
      <w:r w:rsidRPr="00747B86">
        <w:rPr>
          <w:rFonts w:ascii="Calibri" w:hAnsi="Calibri"/>
        </w:rPr>
        <w:t>Victimology</w:t>
      </w:r>
      <w:proofErr w:type="spellEnd"/>
      <w:r w:rsidRPr="00747B86">
        <w:rPr>
          <w:rFonts w:ascii="Calibri" w:hAnsi="Calibri"/>
        </w:rPr>
        <w:t>;</w:t>
      </w:r>
    </w:p>
    <w:p w:rsidR="00101F55" w:rsidRPr="00747B86" w:rsidRDefault="00101F55" w:rsidP="00101F55">
      <w:pPr>
        <w:pStyle w:val="BodyText"/>
        <w:spacing w:line="240" w:lineRule="auto"/>
        <w:rPr>
          <w:rFonts w:ascii="Calibri" w:hAnsi="Calibri"/>
        </w:rPr>
      </w:pPr>
    </w:p>
    <w:p w:rsidR="00101F55" w:rsidRPr="00747B86" w:rsidRDefault="00101F55" w:rsidP="00101F55">
      <w:pPr>
        <w:pStyle w:val="BodyText"/>
        <w:spacing w:line="240" w:lineRule="auto"/>
        <w:rPr>
          <w:rFonts w:ascii="Calibri" w:hAnsi="Calibri"/>
        </w:rPr>
      </w:pPr>
      <w:r w:rsidRPr="00747B86">
        <w:rPr>
          <w:rFonts w:ascii="Calibri" w:hAnsi="Calibri"/>
        </w:rPr>
        <w:t>Comparative human and peoples’ rights and their application; Individual rights and freedoms and public welfare; International criminal economic and commercial crimes, currency offenses, drug trafficking, smuggling, commercial fraud, economic sabotage; International cooperation in crime control, the Commonwealth Fraud Office etc.; Penal philosophy; Traditional African penal conceptions, penal practice in modern Africa, punishment and other methods of treatment of offenders; including rehabilitation of offenders’ prison science, The problems and treatment of juvenile offenders and mentally abnormal offenders.</w:t>
      </w:r>
    </w:p>
    <w:p w:rsidR="00101F55" w:rsidRPr="00747B86" w:rsidRDefault="00101F55" w:rsidP="00101F55">
      <w:pPr>
        <w:pStyle w:val="BodyText"/>
        <w:spacing w:line="240" w:lineRule="auto"/>
        <w:rPr>
          <w:rFonts w:ascii="Calibri" w:hAnsi="Calibri"/>
        </w:rPr>
      </w:pPr>
    </w:p>
    <w:p w:rsidR="00101F55" w:rsidRPr="00865198" w:rsidRDefault="00101F55" w:rsidP="00101F55">
      <w:pPr>
        <w:pStyle w:val="BodyText"/>
        <w:spacing w:line="240" w:lineRule="auto"/>
        <w:ind w:left="720" w:hanging="720"/>
        <w:rPr>
          <w:rFonts w:ascii="Calibri" w:hAnsi="Calibri"/>
          <w:b/>
        </w:rPr>
      </w:pPr>
      <w:r w:rsidRPr="00747B86">
        <w:rPr>
          <w:rFonts w:ascii="Calibri" w:hAnsi="Calibri"/>
          <w:b/>
        </w:rPr>
        <w:t>*</w:t>
      </w:r>
      <w:r w:rsidRPr="00747B86">
        <w:rPr>
          <w:rFonts w:ascii="Calibri" w:hAnsi="Calibri"/>
        </w:rPr>
        <w:tab/>
        <w:t xml:space="preserve">This course has with effect from 2010/2011 academic year become part of curriculum of the Department of Sociology, School of Social Sciences and it is taught under the title </w:t>
      </w:r>
      <w:r w:rsidRPr="00865198">
        <w:rPr>
          <w:rFonts w:ascii="Calibri" w:hAnsi="Calibri"/>
          <w:b/>
        </w:rPr>
        <w:t>Sociology of Punishments and Corrections</w:t>
      </w:r>
      <w:r>
        <w:rPr>
          <w:rFonts w:ascii="Calibri" w:hAnsi="Calibri"/>
          <w:b/>
        </w:rPr>
        <w:t xml:space="preserve"> – CRI 3200</w:t>
      </w:r>
      <w:r w:rsidRPr="00865198">
        <w:rPr>
          <w:rFonts w:ascii="Calibri" w:hAnsi="Calibri"/>
          <w:b/>
        </w:rPr>
        <w:t xml:space="preserve"> </w:t>
      </w:r>
    </w:p>
    <w:p w:rsidR="00101F55" w:rsidRDefault="00101F55" w:rsidP="00101F55">
      <w:pPr>
        <w:pStyle w:val="Bold"/>
        <w:spacing w:line="240" w:lineRule="auto"/>
        <w:rPr>
          <w:rFonts w:ascii="Calibri" w:hAnsi="Calibri" w:cs="Times New Roman"/>
          <w:bCs w:val="0"/>
          <w:iCs/>
          <w:sz w:val="24"/>
          <w:szCs w:val="24"/>
        </w:rPr>
      </w:pPr>
    </w:p>
    <w:p w:rsidR="00101F55" w:rsidRDefault="00101F55" w:rsidP="00101F55">
      <w:pPr>
        <w:pStyle w:val="Bold"/>
        <w:spacing w:line="240" w:lineRule="auto"/>
        <w:rPr>
          <w:rFonts w:ascii="Calibri" w:hAnsi="Calibri" w:cs="Times New Roman"/>
          <w:bCs w:val="0"/>
          <w:iCs/>
          <w:sz w:val="24"/>
          <w:szCs w:val="24"/>
        </w:rPr>
      </w:pPr>
    </w:p>
    <w:p w:rsidR="00101F55" w:rsidRPr="00747B86" w:rsidRDefault="00101F55" w:rsidP="00101F55">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4218</w:t>
      </w:r>
      <w:r w:rsidRPr="00747B86">
        <w:rPr>
          <w:rFonts w:ascii="Calibri" w:hAnsi="Calibri" w:cs="Times New Roman"/>
          <w:bCs w:val="0"/>
          <w:iCs/>
          <w:sz w:val="24"/>
          <w:szCs w:val="24"/>
        </w:rPr>
        <w:tab/>
        <w:t xml:space="preserve">HIRE PURCHASE AND BANKRUPTCY </w:t>
      </w:r>
    </w:p>
    <w:p w:rsidR="00101F55" w:rsidRPr="00747B86" w:rsidRDefault="00101F55" w:rsidP="00101F55">
      <w:pPr>
        <w:pStyle w:val="Bold"/>
        <w:spacing w:line="240" w:lineRule="auto"/>
        <w:rPr>
          <w:rFonts w:ascii="Calibri" w:hAnsi="Calibri" w:cs="Times New Roman"/>
          <w:bCs w:val="0"/>
          <w:iCs/>
          <w:sz w:val="24"/>
          <w:szCs w:val="24"/>
        </w:rPr>
      </w:pPr>
    </w:p>
    <w:p w:rsidR="00101F55" w:rsidRPr="00747B86" w:rsidRDefault="00101F55" w:rsidP="00101F55">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t>Course Description</w:t>
      </w:r>
    </w:p>
    <w:p w:rsidR="00101F55" w:rsidRPr="00747B86" w:rsidRDefault="00101F55" w:rsidP="00101F55">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 xml:space="preserve">This course explores the causes and consequences of the law governing both individual and corporate inability to pay debts. </w:t>
      </w:r>
    </w:p>
    <w:p w:rsidR="00101F55" w:rsidRPr="00747B86" w:rsidRDefault="00101F55" w:rsidP="00101F55">
      <w:pPr>
        <w:autoSpaceDE w:val="0"/>
        <w:autoSpaceDN w:val="0"/>
        <w:adjustRightInd w:val="0"/>
        <w:spacing w:after="0" w:line="240" w:lineRule="auto"/>
        <w:contextualSpacing/>
        <w:rPr>
          <w:rFonts w:ascii="Calibri" w:hAnsi="Calibri"/>
          <w:sz w:val="24"/>
          <w:szCs w:val="24"/>
        </w:rPr>
      </w:pPr>
    </w:p>
    <w:p w:rsidR="00101F55" w:rsidRPr="00747B86" w:rsidRDefault="00101F55" w:rsidP="00101F55">
      <w:pPr>
        <w:pStyle w:val="BodyText"/>
        <w:spacing w:line="240" w:lineRule="auto"/>
        <w:rPr>
          <w:rFonts w:ascii="Calibri" w:hAnsi="Calibri"/>
          <w:b/>
        </w:rPr>
      </w:pPr>
      <w:r w:rsidRPr="00747B86">
        <w:rPr>
          <w:rFonts w:ascii="Calibri" w:hAnsi="Calibri"/>
          <w:b/>
        </w:rPr>
        <w:t>Course Content</w:t>
      </w:r>
    </w:p>
    <w:p w:rsidR="00101F55" w:rsidRPr="00747B86" w:rsidRDefault="00101F55" w:rsidP="00101F55">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Bankruptcy, historical background and law applicable; Definition and nature of bankruptcy; the doctrine of fresh start, from petition, conditions of  bankruptcy, procedure in bankruptcy - form the demand and filing of the bankruptcy petition to the adjudication order, distribution of the property; proof of debts and priorities, duties/obligations of the trustee in bankruptcy; discharge of the debtor, bankruptcy offences.</w:t>
      </w:r>
    </w:p>
    <w:p w:rsidR="00101F55" w:rsidRPr="00747B86" w:rsidRDefault="00101F55" w:rsidP="00101F55">
      <w:pPr>
        <w:autoSpaceDE w:val="0"/>
        <w:autoSpaceDN w:val="0"/>
        <w:adjustRightInd w:val="0"/>
        <w:spacing w:after="0" w:line="240" w:lineRule="auto"/>
        <w:contextualSpacing/>
        <w:rPr>
          <w:rFonts w:ascii="Calibri" w:hAnsi="Calibri"/>
          <w:sz w:val="24"/>
          <w:szCs w:val="24"/>
        </w:rPr>
      </w:pPr>
    </w:p>
    <w:p w:rsidR="00101F55" w:rsidRPr="00747B86" w:rsidRDefault="00101F55" w:rsidP="00101F55">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t>Course Objectives</w:t>
      </w:r>
    </w:p>
    <w:p w:rsidR="00101F55" w:rsidRPr="00747B86" w:rsidRDefault="00101F55" w:rsidP="00101F55">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To introduce students to the domestic application of concepts of the legal ramifications of the Debtor – Creditor relationship in Ugandan law at both the individual and business association levels.</w:t>
      </w:r>
    </w:p>
    <w:p w:rsidR="00101F55" w:rsidRPr="00747B86" w:rsidRDefault="00101F55" w:rsidP="00101F55">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introduce students to the relevant statutes and principles that apply to the said concepts in this jurisdiction </w:t>
      </w:r>
    </w:p>
    <w:p w:rsidR="00101F55" w:rsidRPr="00747B86" w:rsidRDefault="00101F55" w:rsidP="00101F55">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offer students a firm ground in the practical aspects of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 xml:space="preserve"> and how these interact with other masses of the Ugandan law.</w:t>
      </w:r>
    </w:p>
    <w:p w:rsidR="00101F55" w:rsidRPr="00747B86" w:rsidRDefault="00101F55" w:rsidP="00101F55">
      <w:pPr>
        <w:numPr>
          <w:ilvl w:val="0"/>
          <w:numId w:val="1"/>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To offer students a thorough grasp of the practical aspects and consequences of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w:t>
      </w:r>
    </w:p>
    <w:p w:rsidR="00101F55" w:rsidRPr="00747B86" w:rsidRDefault="00101F55" w:rsidP="00101F55">
      <w:pPr>
        <w:autoSpaceDE w:val="0"/>
        <w:autoSpaceDN w:val="0"/>
        <w:adjustRightInd w:val="0"/>
        <w:spacing w:after="0" w:line="240" w:lineRule="auto"/>
        <w:contextualSpacing/>
        <w:rPr>
          <w:rFonts w:ascii="Calibri" w:hAnsi="Calibri"/>
          <w:b/>
          <w:bCs/>
          <w:sz w:val="24"/>
          <w:szCs w:val="24"/>
        </w:rPr>
      </w:pPr>
    </w:p>
    <w:p w:rsidR="00101F55" w:rsidRPr="00747B86" w:rsidRDefault="00101F55" w:rsidP="00101F55">
      <w:pPr>
        <w:autoSpaceDE w:val="0"/>
        <w:autoSpaceDN w:val="0"/>
        <w:adjustRightInd w:val="0"/>
        <w:spacing w:after="0" w:line="240" w:lineRule="auto"/>
        <w:contextualSpacing/>
        <w:rPr>
          <w:rFonts w:ascii="Calibri" w:hAnsi="Calibri"/>
          <w:b/>
          <w:bCs/>
          <w:sz w:val="24"/>
          <w:szCs w:val="24"/>
        </w:rPr>
      </w:pPr>
      <w:r w:rsidRPr="00747B86">
        <w:rPr>
          <w:rFonts w:ascii="Calibri" w:hAnsi="Calibri"/>
          <w:b/>
          <w:bCs/>
          <w:sz w:val="24"/>
          <w:szCs w:val="24"/>
        </w:rPr>
        <w:lastRenderedPageBreak/>
        <w:t>Learning Outcomes</w:t>
      </w:r>
    </w:p>
    <w:p w:rsidR="00101F55" w:rsidRPr="00747B86" w:rsidRDefault="00101F55" w:rsidP="00101F55">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At the end of this course, students should be able to:</w:t>
      </w:r>
    </w:p>
    <w:p w:rsidR="00101F55" w:rsidRPr="00747B86" w:rsidRDefault="00101F55" w:rsidP="00101F55">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Articulate all the statutory aspects of Insolvency legislation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101F55" w:rsidRPr="00747B86" w:rsidRDefault="00101F55" w:rsidP="00101F55">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Integrate the common law and domestic legal regimes on Insolvency Law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101F55" w:rsidRPr="00747B86" w:rsidRDefault="00101F55" w:rsidP="00101F55">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 xml:space="preserve">Discuss each of the arising obligations and decipher the various rights and obligations arising from Insolvency Law property in </w:t>
      </w:r>
      <w:smartTag w:uri="urn:schemas-microsoft-com:office:smarttags" w:element="place">
        <w:smartTag w:uri="urn:schemas-microsoft-com:office:smarttags" w:element="country-region">
          <w:r w:rsidRPr="00747B86">
            <w:rPr>
              <w:rFonts w:ascii="Calibri" w:hAnsi="Calibri"/>
              <w:sz w:val="24"/>
              <w:szCs w:val="24"/>
            </w:rPr>
            <w:t>Uganda</w:t>
          </w:r>
        </w:smartTag>
      </w:smartTag>
    </w:p>
    <w:p w:rsidR="00101F55" w:rsidRPr="00747B86" w:rsidRDefault="00101F55" w:rsidP="00101F55">
      <w:pPr>
        <w:numPr>
          <w:ilvl w:val="0"/>
          <w:numId w:val="2"/>
        </w:numPr>
        <w:tabs>
          <w:tab w:val="left" w:pos="540"/>
        </w:tabs>
        <w:autoSpaceDE w:val="0"/>
        <w:autoSpaceDN w:val="0"/>
        <w:adjustRightInd w:val="0"/>
        <w:spacing w:after="0" w:line="240" w:lineRule="auto"/>
        <w:ind w:left="540" w:hanging="540"/>
        <w:contextualSpacing/>
        <w:jc w:val="both"/>
        <w:rPr>
          <w:rFonts w:ascii="Calibri" w:hAnsi="Calibri"/>
          <w:sz w:val="24"/>
          <w:szCs w:val="24"/>
        </w:rPr>
      </w:pPr>
      <w:r w:rsidRPr="00747B86">
        <w:rPr>
          <w:rFonts w:ascii="Calibri" w:hAnsi="Calibri"/>
          <w:sz w:val="24"/>
          <w:szCs w:val="24"/>
        </w:rPr>
        <w:t>Solve all problems practical, theoretical, philosophical or otherwise that arise in the spectrum of Insolvency Law in Uganda.</w:t>
      </w:r>
    </w:p>
    <w:p w:rsidR="00101F55" w:rsidRPr="00747B86" w:rsidRDefault="00101F55" w:rsidP="00101F55">
      <w:pPr>
        <w:spacing w:after="0"/>
        <w:contextualSpacing/>
        <w:rPr>
          <w:rFonts w:ascii="Calibri" w:hAnsi="Calibri"/>
          <w:b/>
          <w:bCs/>
          <w:sz w:val="24"/>
          <w:szCs w:val="24"/>
          <w:lang w:val="en-GB"/>
        </w:rPr>
      </w:pPr>
    </w:p>
    <w:p w:rsidR="00101F55" w:rsidRPr="00747B86" w:rsidRDefault="00101F55" w:rsidP="00101F55">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101F55" w:rsidRPr="00747B86" w:rsidRDefault="00101F55" w:rsidP="00101F55">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101F55" w:rsidRPr="00747B86" w:rsidRDefault="00101F55" w:rsidP="00101F55">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101F55" w:rsidRPr="00747B86" w:rsidRDefault="00101F55" w:rsidP="00101F55">
      <w:pPr>
        <w:spacing w:after="0" w:line="240" w:lineRule="auto"/>
        <w:ind w:left="720"/>
        <w:contextualSpacing/>
        <w:rPr>
          <w:rFonts w:ascii="Calibri" w:hAnsi="Calibri"/>
          <w:bCs/>
          <w:sz w:val="16"/>
          <w:szCs w:val="16"/>
          <w:lang w:val="en-GB"/>
        </w:rPr>
      </w:pPr>
    </w:p>
    <w:p w:rsidR="00101F55" w:rsidRPr="00747B86" w:rsidRDefault="00101F55" w:rsidP="00101F55">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101F55" w:rsidRPr="00747B86" w:rsidRDefault="00101F55" w:rsidP="00101F55">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101F55" w:rsidRPr="00747B86" w:rsidRDefault="00101F55" w:rsidP="00101F55">
      <w:pPr>
        <w:numPr>
          <w:ilvl w:val="0"/>
          <w:numId w:val="4"/>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101F55" w:rsidRPr="00747B86" w:rsidRDefault="00101F55" w:rsidP="00101F55">
      <w:pPr>
        <w:spacing w:after="0" w:line="240" w:lineRule="auto"/>
        <w:ind w:hanging="720"/>
        <w:contextualSpacing/>
        <w:rPr>
          <w:rFonts w:ascii="Calibri" w:hAnsi="Calibri"/>
          <w:sz w:val="24"/>
          <w:szCs w:val="24"/>
        </w:rPr>
      </w:pPr>
    </w:p>
    <w:p w:rsidR="0036323D" w:rsidRDefault="0036323D"/>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77C5"/>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35FB8"/>
    <w:multiLevelType w:val="hybridMultilevel"/>
    <w:tmpl w:val="F6E4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339F3"/>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D113A"/>
    <w:multiLevelType w:val="hybridMultilevel"/>
    <w:tmpl w:val="DF009142"/>
    <w:lvl w:ilvl="0" w:tplc="6EAC1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55"/>
    <w:rsid w:val="00101F55"/>
    <w:rsid w:val="0036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F5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1F55"/>
    <w:rPr>
      <w:rFonts w:ascii="Times New Roman" w:eastAsia="Times New Roman" w:hAnsi="Times New Roman" w:cs="Times New Roman"/>
      <w:sz w:val="24"/>
      <w:szCs w:val="24"/>
    </w:rPr>
  </w:style>
  <w:style w:type="paragraph" w:customStyle="1" w:styleId="Bold">
    <w:name w:val="Bold"/>
    <w:basedOn w:val="BodyText"/>
    <w:rsid w:val="00101F55"/>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F5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1F55"/>
    <w:rPr>
      <w:rFonts w:ascii="Times New Roman" w:eastAsia="Times New Roman" w:hAnsi="Times New Roman" w:cs="Times New Roman"/>
      <w:sz w:val="24"/>
      <w:szCs w:val="24"/>
    </w:rPr>
  </w:style>
  <w:style w:type="paragraph" w:customStyle="1" w:styleId="Bold">
    <w:name w:val="Bold"/>
    <w:basedOn w:val="BodyText"/>
    <w:rsid w:val="00101F55"/>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2014-07-23T09:43:00Z</dcterms:created>
  <dcterms:modified xsi:type="dcterms:W3CDTF">2014-07-23T09:44:00Z</dcterms:modified>
</cp:coreProperties>
</file>