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8D" w:rsidRPr="00747B86" w:rsidRDefault="00A6488D" w:rsidP="00A6488D">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4218</w:t>
      </w:r>
      <w:r w:rsidRPr="00747B86">
        <w:rPr>
          <w:rFonts w:ascii="Calibri" w:hAnsi="Calibri" w:cs="Times New Roman"/>
          <w:bCs w:val="0"/>
          <w:iCs/>
          <w:sz w:val="24"/>
          <w:szCs w:val="24"/>
        </w:rPr>
        <w:tab/>
        <w:t xml:space="preserve">HIRE PURCHASE AND BANKRUPTCY </w:t>
      </w:r>
    </w:p>
    <w:p w:rsidR="00A6488D" w:rsidRPr="00747B86" w:rsidRDefault="00A6488D" w:rsidP="00A6488D">
      <w:pPr>
        <w:pStyle w:val="Bold"/>
        <w:spacing w:line="240" w:lineRule="auto"/>
        <w:rPr>
          <w:rFonts w:ascii="Calibri" w:hAnsi="Calibri" w:cs="Times New Roman"/>
          <w:bCs w:val="0"/>
          <w:iCs/>
          <w:sz w:val="24"/>
          <w:szCs w:val="24"/>
        </w:rPr>
      </w:pPr>
    </w:p>
    <w:p w:rsidR="00A6488D" w:rsidRPr="00747B86" w:rsidRDefault="00A6488D" w:rsidP="00A6488D">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t>Course Description</w:t>
      </w:r>
    </w:p>
    <w:p w:rsidR="00A6488D" w:rsidRPr="00747B86" w:rsidRDefault="00A6488D" w:rsidP="00A6488D">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 xml:space="preserve">This course explores the causes and consequences of the law governing both individual and corporate inability to pay debts. </w:t>
      </w:r>
    </w:p>
    <w:p w:rsidR="00A6488D" w:rsidRPr="00747B86" w:rsidRDefault="00A6488D" w:rsidP="00A6488D">
      <w:pPr>
        <w:autoSpaceDE w:val="0"/>
        <w:autoSpaceDN w:val="0"/>
        <w:adjustRightInd w:val="0"/>
        <w:spacing w:after="0" w:line="240" w:lineRule="auto"/>
        <w:contextualSpacing/>
        <w:rPr>
          <w:rFonts w:ascii="Calibri" w:hAnsi="Calibri"/>
          <w:sz w:val="24"/>
          <w:szCs w:val="24"/>
        </w:rPr>
      </w:pPr>
    </w:p>
    <w:p w:rsidR="00A6488D" w:rsidRPr="00747B86" w:rsidRDefault="00A6488D" w:rsidP="00A6488D">
      <w:pPr>
        <w:pStyle w:val="BodyText"/>
        <w:spacing w:line="240" w:lineRule="auto"/>
        <w:rPr>
          <w:rFonts w:ascii="Calibri" w:hAnsi="Calibri"/>
          <w:b/>
        </w:rPr>
      </w:pPr>
      <w:r w:rsidRPr="00747B86">
        <w:rPr>
          <w:rFonts w:ascii="Calibri" w:hAnsi="Calibri"/>
          <w:b/>
        </w:rPr>
        <w:t>Course Content</w:t>
      </w:r>
    </w:p>
    <w:p w:rsidR="00A6488D" w:rsidRPr="00747B86" w:rsidRDefault="00A6488D" w:rsidP="00A6488D">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Bankruptcy, historical background and law applicable; Definition and nature of bankruptcy; the doctrine of fresh start, from petition, conditions of  bankruptcy, procedure in bankruptcy - form the demand and filing of the bankruptcy petition to the adjudication order, distribution of the property; proof of debts and priorities, duties/obligations of the trustee in bankruptcy; discharge of the debtor, bankruptcy offences.</w:t>
      </w:r>
    </w:p>
    <w:p w:rsidR="00A6488D" w:rsidRPr="00747B86" w:rsidRDefault="00A6488D" w:rsidP="00A6488D">
      <w:pPr>
        <w:autoSpaceDE w:val="0"/>
        <w:autoSpaceDN w:val="0"/>
        <w:adjustRightInd w:val="0"/>
        <w:spacing w:after="0" w:line="240" w:lineRule="auto"/>
        <w:contextualSpacing/>
        <w:rPr>
          <w:rFonts w:ascii="Calibri" w:hAnsi="Calibri"/>
          <w:sz w:val="24"/>
          <w:szCs w:val="24"/>
        </w:rPr>
      </w:pPr>
    </w:p>
    <w:p w:rsidR="00A6488D" w:rsidRPr="00747B86" w:rsidRDefault="00A6488D" w:rsidP="00A6488D">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t>Course Objectives</w:t>
      </w:r>
    </w:p>
    <w:p w:rsidR="00A6488D" w:rsidRPr="00747B86" w:rsidRDefault="00A6488D" w:rsidP="00A6488D">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To introduce students to the domestic application of concepts of the legal ramifications of the Debtor – Creditor relationship in Ugandan law at both the individual and business association levels.</w:t>
      </w:r>
    </w:p>
    <w:p w:rsidR="00A6488D" w:rsidRPr="00747B86" w:rsidRDefault="00A6488D" w:rsidP="00A6488D">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introduce students to the relevant statutes and principles that apply to the said concepts in this jurisdiction </w:t>
      </w:r>
    </w:p>
    <w:p w:rsidR="00A6488D" w:rsidRPr="00747B86" w:rsidRDefault="00A6488D" w:rsidP="00A6488D">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offer students a firm ground in the practical aspects of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 xml:space="preserve"> and how these interact with other masses of the Ugandan law.</w:t>
      </w:r>
    </w:p>
    <w:p w:rsidR="00A6488D" w:rsidRPr="00747B86" w:rsidRDefault="00A6488D" w:rsidP="00A6488D">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offer students a thorough grasp of the practical aspects and consequences of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w:t>
      </w:r>
    </w:p>
    <w:p w:rsidR="00A6488D" w:rsidRPr="00747B86" w:rsidRDefault="00A6488D" w:rsidP="00A6488D">
      <w:pPr>
        <w:autoSpaceDE w:val="0"/>
        <w:autoSpaceDN w:val="0"/>
        <w:adjustRightInd w:val="0"/>
        <w:spacing w:after="0" w:line="240" w:lineRule="auto"/>
        <w:contextualSpacing/>
        <w:rPr>
          <w:rFonts w:ascii="Calibri" w:hAnsi="Calibri"/>
          <w:b/>
          <w:bCs/>
          <w:sz w:val="24"/>
          <w:szCs w:val="24"/>
        </w:rPr>
      </w:pPr>
    </w:p>
    <w:p w:rsidR="00A6488D" w:rsidRPr="00747B86" w:rsidRDefault="00A6488D" w:rsidP="00A6488D">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t>Learning Outcomes</w:t>
      </w:r>
    </w:p>
    <w:p w:rsidR="00A6488D" w:rsidRPr="00747B86" w:rsidRDefault="00A6488D" w:rsidP="00A6488D">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At the end of this course, students should be able to:</w:t>
      </w:r>
    </w:p>
    <w:p w:rsidR="00A6488D" w:rsidRPr="00747B86" w:rsidRDefault="00A6488D" w:rsidP="00A6488D">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Articulate all the statutory aspects of Insolvency legislation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A6488D" w:rsidRPr="00747B86" w:rsidRDefault="00A6488D" w:rsidP="00A6488D">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Integrate the common law and domestic legal regimes on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A6488D" w:rsidRPr="00747B86" w:rsidRDefault="00A6488D" w:rsidP="00A6488D">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Discuss each of the arising obligations and decipher the various rights and obligations arising from Insolvency Law property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A6488D" w:rsidRPr="00747B86" w:rsidRDefault="00A6488D" w:rsidP="00A6488D">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Solve all problems practical, theoretical, philosophical or otherwise that arise in the spectrum of Insolvency Law in Uganda.</w:t>
      </w:r>
    </w:p>
    <w:p w:rsidR="00A6488D" w:rsidRPr="00747B86" w:rsidRDefault="00A6488D" w:rsidP="00A6488D">
      <w:pPr>
        <w:spacing w:after="0"/>
        <w:contextualSpacing/>
        <w:rPr>
          <w:rFonts w:ascii="Calibri" w:hAnsi="Calibri"/>
          <w:b/>
          <w:bCs/>
          <w:sz w:val="24"/>
          <w:szCs w:val="24"/>
          <w:lang w:val="en-GB"/>
        </w:rPr>
      </w:pPr>
    </w:p>
    <w:p w:rsidR="00A6488D" w:rsidRPr="00747B86" w:rsidRDefault="00A6488D" w:rsidP="00A6488D">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A6488D" w:rsidRPr="00747B86" w:rsidRDefault="00A6488D" w:rsidP="00A6488D">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A6488D" w:rsidRPr="00747B86" w:rsidRDefault="00A6488D" w:rsidP="00A6488D">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A6488D" w:rsidRPr="00747B86" w:rsidRDefault="00A6488D" w:rsidP="00A6488D">
      <w:pPr>
        <w:spacing w:after="0" w:line="240" w:lineRule="auto"/>
        <w:ind w:left="720"/>
        <w:contextualSpacing/>
        <w:rPr>
          <w:rFonts w:ascii="Calibri" w:hAnsi="Calibri"/>
          <w:bCs/>
          <w:sz w:val="16"/>
          <w:szCs w:val="16"/>
          <w:lang w:val="en-GB"/>
        </w:rPr>
      </w:pPr>
    </w:p>
    <w:p w:rsidR="00A6488D" w:rsidRPr="00747B86" w:rsidRDefault="00A6488D" w:rsidP="00A6488D">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A6488D" w:rsidRPr="00747B86" w:rsidRDefault="00A6488D" w:rsidP="00A6488D">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lastRenderedPageBreak/>
        <w:t>A coursework will be administered during the coursework week to be marked out of 30 marks.</w:t>
      </w:r>
    </w:p>
    <w:p w:rsidR="00A6488D" w:rsidRPr="00747B86" w:rsidRDefault="00A6488D" w:rsidP="00A6488D">
      <w:pPr>
        <w:numPr>
          <w:ilvl w:val="0"/>
          <w:numId w:val="4"/>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A6488D" w:rsidRPr="00747B86" w:rsidRDefault="00A6488D" w:rsidP="00A6488D">
      <w:pPr>
        <w:spacing w:after="0" w:line="240" w:lineRule="auto"/>
        <w:ind w:hanging="720"/>
        <w:contextualSpacing/>
        <w:rPr>
          <w:rFonts w:ascii="Calibri" w:hAnsi="Calibri"/>
          <w:sz w:val="24"/>
          <w:szCs w:val="24"/>
        </w:rPr>
      </w:pP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77C5"/>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35FB8"/>
    <w:multiLevelType w:val="hybridMultilevel"/>
    <w:tmpl w:val="F6E4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339F3"/>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D113A"/>
    <w:multiLevelType w:val="hybridMultilevel"/>
    <w:tmpl w:val="DF009142"/>
    <w:lvl w:ilvl="0" w:tplc="6EAC1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8D"/>
    <w:rsid w:val="0036323D"/>
    <w:rsid w:val="00A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88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488D"/>
    <w:rPr>
      <w:rFonts w:ascii="Times New Roman" w:eastAsia="Times New Roman" w:hAnsi="Times New Roman" w:cs="Times New Roman"/>
      <w:sz w:val="24"/>
      <w:szCs w:val="24"/>
    </w:rPr>
  </w:style>
  <w:style w:type="paragraph" w:customStyle="1" w:styleId="Bold">
    <w:name w:val="Bold"/>
    <w:basedOn w:val="BodyText"/>
    <w:rsid w:val="00A6488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488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488D"/>
    <w:rPr>
      <w:rFonts w:ascii="Times New Roman" w:eastAsia="Times New Roman" w:hAnsi="Times New Roman" w:cs="Times New Roman"/>
      <w:sz w:val="24"/>
      <w:szCs w:val="24"/>
    </w:rPr>
  </w:style>
  <w:style w:type="paragraph" w:customStyle="1" w:styleId="Bold">
    <w:name w:val="Bold"/>
    <w:basedOn w:val="BodyText"/>
    <w:rsid w:val="00A6488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2014-07-23T09:46:00Z</dcterms:created>
  <dcterms:modified xsi:type="dcterms:W3CDTF">2014-07-23T09:47:00Z</dcterms:modified>
</cp:coreProperties>
</file>