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0D" w:rsidRPr="003422CC" w:rsidRDefault="00292B0D" w:rsidP="00292B0D">
      <w:pPr>
        <w:rPr>
          <w:b/>
        </w:rPr>
      </w:pPr>
      <w:r w:rsidRPr="003422CC">
        <w:t>PHI 2107</w:t>
      </w:r>
      <w:bookmarkStart w:id="0" w:name="_GoBack"/>
      <w:bookmarkEnd w:id="0"/>
      <w:r w:rsidR="00E324F3">
        <w:t xml:space="preserve">   </w:t>
      </w:r>
      <w:r w:rsidRPr="003422CC">
        <w:rPr>
          <w:b/>
        </w:rPr>
        <w:t>Philosophy of Gender</w:t>
      </w:r>
    </w:p>
    <w:p w:rsidR="00292B0D" w:rsidRPr="003422CC" w:rsidRDefault="00292B0D" w:rsidP="00292B0D">
      <w:r w:rsidRPr="003422CC">
        <w:t>Course Code:</w:t>
      </w:r>
      <w:r w:rsidRPr="003422CC">
        <w:tab/>
      </w:r>
    </w:p>
    <w:p w:rsidR="00292B0D" w:rsidRPr="003422CC" w:rsidRDefault="00292B0D" w:rsidP="00292B0D">
      <w:pPr>
        <w:rPr>
          <w:b/>
          <w:bCs/>
        </w:rPr>
      </w:pPr>
      <w:r w:rsidRPr="003422CC">
        <w:rPr>
          <w:b/>
          <w:bCs/>
        </w:rPr>
        <w:t>Course Unit:</w:t>
      </w:r>
      <w:r w:rsidRPr="003422CC">
        <w:rPr>
          <w:b/>
          <w:bCs/>
        </w:rPr>
        <w:tab/>
        <w:t>3</w:t>
      </w:r>
    </w:p>
    <w:p w:rsidR="00292B0D" w:rsidRPr="003422CC" w:rsidRDefault="00292B0D" w:rsidP="00292B0D">
      <w:pPr>
        <w:tabs>
          <w:tab w:val="left" w:pos="0"/>
        </w:tabs>
        <w:suppressAutoHyphens/>
        <w:ind w:left="720" w:hanging="720"/>
      </w:pPr>
    </w:p>
    <w:p w:rsidR="00292B0D" w:rsidRPr="003422CC" w:rsidRDefault="00292B0D" w:rsidP="00292B0D">
      <w:pPr>
        <w:tabs>
          <w:tab w:val="left" w:pos="0"/>
        </w:tabs>
        <w:suppressAutoHyphens/>
        <w:jc w:val="both"/>
        <w:rPr>
          <w:b/>
          <w:bCs/>
          <w:i/>
          <w:iCs/>
        </w:rPr>
      </w:pPr>
      <w:r w:rsidRPr="003422CC">
        <w:rPr>
          <w:b/>
          <w:bCs/>
          <w:i/>
          <w:iCs/>
        </w:rPr>
        <w:t xml:space="preserve">Course </w:t>
      </w:r>
      <w:proofErr w:type="gramStart"/>
      <w:r w:rsidRPr="003422CC">
        <w:rPr>
          <w:b/>
          <w:bCs/>
          <w:i/>
          <w:iCs/>
        </w:rPr>
        <w:t xml:space="preserve">description </w:t>
      </w:r>
      <w:r w:rsidR="00E324F3">
        <w:rPr>
          <w:b/>
          <w:bCs/>
          <w:i/>
          <w:iCs/>
        </w:rPr>
        <w:t>:</w:t>
      </w:r>
      <w:proofErr w:type="gramEnd"/>
    </w:p>
    <w:p w:rsidR="00292B0D" w:rsidRPr="003422CC" w:rsidRDefault="00292B0D" w:rsidP="00292B0D">
      <w:pPr>
        <w:jc w:val="both"/>
      </w:pPr>
      <w:r w:rsidRPr="003422CC">
        <w:t xml:space="preserve">The course examines the views about the role of men and women in society as they have developed through history and as they stand today, especially in the African context.  It highlights the issues associated with these roles and the ensuing questions related to gender.  The course assesses the thoughtful contribution of men and women to gender issues, considering the questions involved like the meaning of being equal and of being different, of being disadvantaged and needing, perhaps, preferential treatment to compensate for such disadvantages.  The course examines the fallacies, prejudices, misunderstandings and manipulation related to the gender issue.  It analyses the history of male domination vis-à-vis the idea of female inferiority, the differences between the sexes, the differentiation of roles in society and the concepts of feminism, sexism, etc.  The various stands </w:t>
      </w:r>
      <w:proofErr w:type="spellStart"/>
      <w:r w:rsidRPr="003422CC">
        <w:t>vis</w:t>
      </w:r>
      <w:proofErr w:type="spellEnd"/>
      <w:r w:rsidRPr="003422CC">
        <w:t xml:space="preserve">-avis gender </w:t>
      </w:r>
      <w:proofErr w:type="gramStart"/>
      <w:r w:rsidRPr="003422CC">
        <w:t>are</w:t>
      </w:r>
      <w:proofErr w:type="gramEnd"/>
      <w:r w:rsidRPr="003422CC">
        <w:t xml:space="preserve"> examined like the uncritical acceptance, the emotional reaction, the radical approach and the philosophical position to this issue. </w:t>
      </w:r>
    </w:p>
    <w:p w:rsidR="00292B0D" w:rsidRPr="003422CC" w:rsidRDefault="00292B0D" w:rsidP="00292B0D">
      <w:pPr>
        <w:tabs>
          <w:tab w:val="left" w:pos="0"/>
        </w:tabs>
        <w:suppressAutoHyphens/>
        <w:ind w:left="720" w:hanging="720"/>
      </w:pPr>
    </w:p>
    <w:p w:rsidR="00292B0D" w:rsidRPr="003422CC" w:rsidRDefault="00292B0D" w:rsidP="00292B0D">
      <w:pPr>
        <w:tabs>
          <w:tab w:val="left" w:pos="0"/>
        </w:tabs>
        <w:suppressAutoHyphens/>
        <w:ind w:left="720" w:hanging="720"/>
        <w:rPr>
          <w:b/>
          <w:bCs/>
          <w:i/>
          <w:iCs/>
        </w:rPr>
      </w:pPr>
      <w:r w:rsidRPr="003422CC">
        <w:rPr>
          <w:b/>
          <w:bCs/>
          <w:i/>
          <w:iCs/>
        </w:rPr>
        <w:t>Course objective</w:t>
      </w:r>
      <w:r w:rsidR="00E324F3">
        <w:rPr>
          <w:b/>
          <w:bCs/>
          <w:i/>
          <w:iCs/>
        </w:rPr>
        <w:t>:</w:t>
      </w:r>
      <w:r w:rsidRPr="003422CC">
        <w:rPr>
          <w:b/>
          <w:bCs/>
          <w:i/>
          <w:iCs/>
        </w:rPr>
        <w:t xml:space="preserve"> </w:t>
      </w:r>
    </w:p>
    <w:p w:rsidR="00292B0D" w:rsidRPr="003422CC" w:rsidRDefault="00292B0D" w:rsidP="00292B0D">
      <w:pPr>
        <w:pStyle w:val="Heading1"/>
        <w:spacing w:line="240" w:lineRule="auto"/>
        <w:ind w:left="0" w:firstLine="0"/>
      </w:pPr>
      <w:r w:rsidRPr="003422CC">
        <w:t xml:space="preserve">The course aims at helping students gain knowledge, understand and develop reliable analytical skills in examining genders challenges. It targets raising thinkers who are versed in identifying and dealing with deep and underlying gender problems and nuances that shape social, political and other human discourses. </w:t>
      </w:r>
    </w:p>
    <w:p w:rsidR="00292B0D" w:rsidRPr="003422CC" w:rsidRDefault="00292B0D" w:rsidP="00292B0D">
      <w:pPr>
        <w:tabs>
          <w:tab w:val="left" w:pos="0"/>
        </w:tabs>
        <w:suppressAutoHyphens/>
      </w:pPr>
    </w:p>
    <w:p w:rsidR="00292B0D" w:rsidRPr="003422CC" w:rsidRDefault="00292B0D" w:rsidP="00292B0D">
      <w:pPr>
        <w:rPr>
          <w:b/>
          <w:bCs/>
          <w:i/>
          <w:iCs/>
        </w:rPr>
      </w:pPr>
      <w:r w:rsidRPr="003422CC">
        <w:rPr>
          <w:b/>
          <w:bCs/>
          <w:i/>
          <w:iCs/>
        </w:rPr>
        <w:t>Learning objectives</w:t>
      </w:r>
    </w:p>
    <w:p w:rsidR="00292B0D" w:rsidRPr="003422CC" w:rsidRDefault="00292B0D" w:rsidP="00292B0D">
      <w:pPr>
        <w:rPr>
          <w:bCs/>
        </w:rPr>
      </w:pPr>
      <w:r w:rsidRPr="003422CC">
        <w:rPr>
          <w:bCs/>
        </w:rPr>
        <w:t>By the end of the course, students shall be expected:</w:t>
      </w:r>
    </w:p>
    <w:p w:rsidR="00292B0D" w:rsidRPr="003422CC" w:rsidRDefault="00292B0D" w:rsidP="00292B0D">
      <w:pPr>
        <w:widowControl w:val="0"/>
        <w:numPr>
          <w:ilvl w:val="0"/>
          <w:numId w:val="1"/>
        </w:numPr>
        <w:autoSpaceDE w:val="0"/>
        <w:autoSpaceDN w:val="0"/>
        <w:adjustRightInd w:val="0"/>
      </w:pPr>
      <w:r w:rsidRPr="003422CC">
        <w:t xml:space="preserve">To appreciate the role of philosophy in understanding gender problems </w:t>
      </w:r>
    </w:p>
    <w:p w:rsidR="00292B0D" w:rsidRPr="003422CC" w:rsidRDefault="00292B0D" w:rsidP="00292B0D">
      <w:pPr>
        <w:widowControl w:val="0"/>
        <w:numPr>
          <w:ilvl w:val="0"/>
          <w:numId w:val="1"/>
        </w:numPr>
        <w:autoSpaceDE w:val="0"/>
        <w:autoSpaceDN w:val="0"/>
        <w:adjustRightInd w:val="0"/>
      </w:pPr>
      <w:r w:rsidRPr="003422CC">
        <w:t xml:space="preserve">To have gained the most basic knowledge of the major gender categories and theories in the field of philosophy of gender </w:t>
      </w:r>
    </w:p>
    <w:p w:rsidR="00292B0D" w:rsidRPr="003422CC" w:rsidRDefault="00292B0D" w:rsidP="00292B0D">
      <w:pPr>
        <w:widowControl w:val="0"/>
        <w:numPr>
          <w:ilvl w:val="0"/>
          <w:numId w:val="1"/>
        </w:numPr>
        <w:autoSpaceDE w:val="0"/>
        <w:autoSpaceDN w:val="0"/>
        <w:adjustRightInd w:val="0"/>
      </w:pPr>
      <w:r w:rsidRPr="003422CC">
        <w:t xml:space="preserve">To have developed good skills in analyzing gender problems in society </w:t>
      </w:r>
    </w:p>
    <w:p w:rsidR="00292B0D" w:rsidRPr="003422CC" w:rsidRDefault="00292B0D" w:rsidP="00292B0D">
      <w:pPr>
        <w:widowControl w:val="0"/>
        <w:numPr>
          <w:ilvl w:val="0"/>
          <w:numId w:val="1"/>
        </w:numPr>
        <w:autoSpaceDE w:val="0"/>
        <w:autoSpaceDN w:val="0"/>
        <w:adjustRightInd w:val="0"/>
      </w:pPr>
      <w:r w:rsidRPr="003422CC">
        <w:t xml:space="preserve">To be able to relate cultural with gender </w:t>
      </w:r>
    </w:p>
    <w:p w:rsidR="00292B0D" w:rsidRPr="003422CC" w:rsidRDefault="00292B0D" w:rsidP="00292B0D">
      <w:pPr>
        <w:widowControl w:val="0"/>
        <w:numPr>
          <w:ilvl w:val="0"/>
          <w:numId w:val="1"/>
        </w:numPr>
        <w:autoSpaceDE w:val="0"/>
        <w:autoSpaceDN w:val="0"/>
        <w:adjustRightInd w:val="0"/>
      </w:pPr>
      <w:r w:rsidRPr="003422CC">
        <w:t xml:space="preserve">To have learnt how to philosophically articulate their positions on gender issues </w:t>
      </w:r>
    </w:p>
    <w:p w:rsidR="00292B0D" w:rsidRPr="003422CC" w:rsidRDefault="00292B0D" w:rsidP="00292B0D">
      <w:pPr>
        <w:rPr>
          <w:b/>
          <w:bCs/>
          <w:iCs/>
        </w:rPr>
      </w:pPr>
    </w:p>
    <w:p w:rsidR="00292B0D" w:rsidRPr="003422CC" w:rsidRDefault="00292B0D" w:rsidP="00292B0D">
      <w:pPr>
        <w:rPr>
          <w:b/>
          <w:bCs/>
          <w:i/>
        </w:rPr>
      </w:pPr>
      <w:r w:rsidRPr="003422CC">
        <w:rPr>
          <w:b/>
          <w:bCs/>
          <w:i/>
        </w:rPr>
        <w:t>Course outline</w:t>
      </w:r>
    </w:p>
    <w:p w:rsidR="00292B0D" w:rsidRPr="003422CC" w:rsidRDefault="00292B0D" w:rsidP="00292B0D">
      <w:pPr>
        <w:widowControl w:val="0"/>
        <w:numPr>
          <w:ilvl w:val="0"/>
          <w:numId w:val="2"/>
        </w:numPr>
        <w:autoSpaceDE w:val="0"/>
        <w:autoSpaceDN w:val="0"/>
        <w:adjustRightInd w:val="0"/>
      </w:pPr>
      <w:r w:rsidRPr="003422CC">
        <w:t>General Introduction to philosophy of Gender</w:t>
      </w:r>
    </w:p>
    <w:p w:rsidR="00292B0D" w:rsidRPr="003422CC" w:rsidRDefault="00292B0D" w:rsidP="00292B0D">
      <w:pPr>
        <w:widowControl w:val="0"/>
        <w:numPr>
          <w:ilvl w:val="0"/>
          <w:numId w:val="2"/>
        </w:numPr>
        <w:autoSpaceDE w:val="0"/>
        <w:autoSpaceDN w:val="0"/>
        <w:adjustRightInd w:val="0"/>
      </w:pPr>
      <w:r w:rsidRPr="003422CC">
        <w:t xml:space="preserve">Approaches to the study of philosophy of gender </w:t>
      </w:r>
    </w:p>
    <w:p w:rsidR="00292B0D" w:rsidRPr="003422CC" w:rsidRDefault="00292B0D" w:rsidP="00292B0D">
      <w:pPr>
        <w:widowControl w:val="0"/>
        <w:numPr>
          <w:ilvl w:val="0"/>
          <w:numId w:val="2"/>
        </w:numPr>
        <w:autoSpaceDE w:val="0"/>
        <w:autoSpaceDN w:val="0"/>
        <w:adjustRightInd w:val="0"/>
      </w:pPr>
      <w:r w:rsidRPr="003422CC">
        <w:t xml:space="preserve">Gender, Sex and Sexism – Clarifications </w:t>
      </w:r>
    </w:p>
    <w:p w:rsidR="00292B0D" w:rsidRPr="003422CC" w:rsidRDefault="00292B0D" w:rsidP="00292B0D">
      <w:pPr>
        <w:widowControl w:val="0"/>
        <w:numPr>
          <w:ilvl w:val="0"/>
          <w:numId w:val="2"/>
        </w:numPr>
        <w:autoSpaceDE w:val="0"/>
        <w:autoSpaceDN w:val="0"/>
        <w:adjustRightInd w:val="0"/>
      </w:pPr>
      <w:r w:rsidRPr="003422CC">
        <w:t xml:space="preserve">Selected Philosophical perspectives on men and women </w:t>
      </w:r>
    </w:p>
    <w:p w:rsidR="00292B0D" w:rsidRPr="003422CC" w:rsidRDefault="00292B0D" w:rsidP="00292B0D">
      <w:pPr>
        <w:widowControl w:val="0"/>
        <w:numPr>
          <w:ilvl w:val="0"/>
          <w:numId w:val="2"/>
        </w:numPr>
        <w:autoSpaceDE w:val="0"/>
        <w:autoSpaceDN w:val="0"/>
        <w:adjustRightInd w:val="0"/>
      </w:pPr>
      <w:r w:rsidRPr="003422CC">
        <w:t xml:space="preserve">Marriage and Gender </w:t>
      </w:r>
    </w:p>
    <w:p w:rsidR="00292B0D" w:rsidRPr="003422CC" w:rsidRDefault="00292B0D" w:rsidP="00292B0D">
      <w:pPr>
        <w:widowControl w:val="0"/>
        <w:numPr>
          <w:ilvl w:val="0"/>
          <w:numId w:val="2"/>
        </w:numPr>
        <w:autoSpaceDE w:val="0"/>
        <w:autoSpaceDN w:val="0"/>
        <w:adjustRightInd w:val="0"/>
      </w:pPr>
      <w:r w:rsidRPr="003422CC">
        <w:t xml:space="preserve">Human Sexuality and natural </w:t>
      </w:r>
    </w:p>
    <w:p w:rsidR="00292B0D" w:rsidRPr="003422CC" w:rsidRDefault="00292B0D" w:rsidP="00292B0D">
      <w:pPr>
        <w:widowControl w:val="0"/>
        <w:numPr>
          <w:ilvl w:val="0"/>
          <w:numId w:val="2"/>
        </w:numPr>
        <w:autoSpaceDE w:val="0"/>
        <w:autoSpaceDN w:val="0"/>
        <w:adjustRightInd w:val="0"/>
      </w:pPr>
      <w:r w:rsidRPr="003422CC">
        <w:t xml:space="preserve">Human Sexuality as a Social Construct </w:t>
      </w:r>
    </w:p>
    <w:p w:rsidR="00292B0D" w:rsidRPr="003422CC" w:rsidRDefault="00292B0D" w:rsidP="00292B0D">
      <w:pPr>
        <w:widowControl w:val="0"/>
        <w:numPr>
          <w:ilvl w:val="0"/>
          <w:numId w:val="2"/>
        </w:numPr>
        <w:autoSpaceDE w:val="0"/>
        <w:autoSpaceDN w:val="0"/>
        <w:adjustRightInd w:val="0"/>
      </w:pPr>
      <w:r w:rsidRPr="003422CC">
        <w:t xml:space="preserve">Transgender and trans-sexuality </w:t>
      </w:r>
    </w:p>
    <w:p w:rsidR="00292B0D" w:rsidRPr="003422CC" w:rsidRDefault="00292B0D" w:rsidP="00292B0D">
      <w:pPr>
        <w:widowControl w:val="0"/>
        <w:numPr>
          <w:ilvl w:val="0"/>
          <w:numId w:val="2"/>
        </w:numPr>
        <w:autoSpaceDE w:val="0"/>
        <w:autoSpaceDN w:val="0"/>
        <w:adjustRightInd w:val="0"/>
      </w:pPr>
      <w:r w:rsidRPr="003422CC">
        <w:t xml:space="preserve">Gender Identity </w:t>
      </w:r>
    </w:p>
    <w:p w:rsidR="00292B0D" w:rsidRPr="003422CC" w:rsidRDefault="00292B0D" w:rsidP="00292B0D">
      <w:pPr>
        <w:widowControl w:val="0"/>
        <w:numPr>
          <w:ilvl w:val="0"/>
          <w:numId w:val="2"/>
        </w:numPr>
        <w:autoSpaceDE w:val="0"/>
        <w:autoSpaceDN w:val="0"/>
        <w:adjustRightInd w:val="0"/>
      </w:pPr>
      <w:r w:rsidRPr="003422CC">
        <w:t xml:space="preserve">Feminism </w:t>
      </w:r>
    </w:p>
    <w:p w:rsidR="00292B0D" w:rsidRPr="003422CC" w:rsidRDefault="00292B0D" w:rsidP="00292B0D">
      <w:pPr>
        <w:widowControl w:val="0"/>
        <w:numPr>
          <w:ilvl w:val="0"/>
          <w:numId w:val="2"/>
        </w:numPr>
        <w:autoSpaceDE w:val="0"/>
        <w:autoSpaceDN w:val="0"/>
        <w:adjustRightInd w:val="0"/>
      </w:pPr>
      <w:r w:rsidRPr="003422CC">
        <w:t xml:space="preserve">Various theories / schools of feminism </w:t>
      </w:r>
    </w:p>
    <w:p w:rsidR="00292B0D" w:rsidRPr="003422CC" w:rsidRDefault="00292B0D" w:rsidP="00292B0D">
      <w:pPr>
        <w:widowControl w:val="0"/>
        <w:numPr>
          <w:ilvl w:val="0"/>
          <w:numId w:val="2"/>
        </w:numPr>
        <w:autoSpaceDE w:val="0"/>
        <w:autoSpaceDN w:val="0"/>
        <w:adjustRightInd w:val="0"/>
      </w:pPr>
      <w:r w:rsidRPr="003422CC">
        <w:t xml:space="preserve">Politics and feminism </w:t>
      </w:r>
    </w:p>
    <w:p w:rsidR="00292B0D" w:rsidRPr="003422CC" w:rsidRDefault="00292B0D" w:rsidP="00292B0D">
      <w:pPr>
        <w:widowControl w:val="0"/>
        <w:numPr>
          <w:ilvl w:val="0"/>
          <w:numId w:val="2"/>
        </w:numPr>
        <w:autoSpaceDE w:val="0"/>
        <w:autoSpaceDN w:val="0"/>
        <w:adjustRightInd w:val="0"/>
      </w:pPr>
      <w:proofErr w:type="spellStart"/>
      <w:r w:rsidRPr="003422CC">
        <w:lastRenderedPageBreak/>
        <w:t>Masculism</w:t>
      </w:r>
      <w:proofErr w:type="spellEnd"/>
    </w:p>
    <w:p w:rsidR="00292B0D" w:rsidRPr="003422CC" w:rsidRDefault="00292B0D" w:rsidP="00292B0D"/>
    <w:p w:rsidR="00292B0D" w:rsidRPr="003422CC" w:rsidRDefault="00292B0D" w:rsidP="00292B0D">
      <w:pPr>
        <w:tabs>
          <w:tab w:val="left" w:pos="0"/>
        </w:tabs>
        <w:suppressAutoHyphens/>
        <w:jc w:val="both"/>
        <w:rPr>
          <w:b/>
          <w:i/>
          <w:iCs/>
        </w:rPr>
      </w:pPr>
      <w:r w:rsidRPr="003422CC">
        <w:rPr>
          <w:b/>
          <w:i/>
          <w:iCs/>
        </w:rPr>
        <w:t xml:space="preserve">Methodology </w:t>
      </w:r>
    </w:p>
    <w:p w:rsidR="00292B0D" w:rsidRPr="003422CC" w:rsidRDefault="00292B0D" w:rsidP="00292B0D">
      <w:r w:rsidRPr="003422CC">
        <w:t xml:space="preserve">The facilitator(s) will employ the following methods; Interactive lectures, guest lectures, seminars, tutorials, question and answer sessions, small group discussions. </w:t>
      </w:r>
    </w:p>
    <w:p w:rsidR="00292B0D" w:rsidRPr="003422CC" w:rsidRDefault="00292B0D" w:rsidP="00292B0D"/>
    <w:p w:rsidR="00292B0D" w:rsidRPr="003422CC" w:rsidRDefault="00292B0D" w:rsidP="00292B0D">
      <w:pPr>
        <w:rPr>
          <w:b/>
          <w:i/>
          <w:iCs/>
        </w:rPr>
      </w:pPr>
      <w:r w:rsidRPr="003422CC">
        <w:rPr>
          <w:b/>
          <w:i/>
          <w:iCs/>
        </w:rPr>
        <w:t xml:space="preserve">Assessment Mode </w:t>
      </w:r>
    </w:p>
    <w:p w:rsidR="00292B0D" w:rsidRPr="003422CC" w:rsidRDefault="00292B0D" w:rsidP="00292B0D">
      <w:r w:rsidRPr="003422CC">
        <w:t xml:space="preserve">Take home exercise 15% </w:t>
      </w:r>
    </w:p>
    <w:p w:rsidR="00292B0D" w:rsidRPr="003422CC" w:rsidRDefault="00292B0D" w:rsidP="00292B0D">
      <w:r w:rsidRPr="003422CC">
        <w:t xml:space="preserve">Practical exercise / test 15% </w:t>
      </w:r>
    </w:p>
    <w:p w:rsidR="00292B0D" w:rsidRPr="003422CC" w:rsidRDefault="00292B0D" w:rsidP="00292B0D">
      <w:r w:rsidRPr="003422CC">
        <w:t xml:space="preserve">End of semester examination 70% </w:t>
      </w:r>
    </w:p>
    <w:p w:rsidR="00292B0D" w:rsidRPr="003422CC" w:rsidRDefault="00292B0D" w:rsidP="00292B0D"/>
    <w:p w:rsidR="00292B0D" w:rsidRPr="003422CC" w:rsidRDefault="00292B0D" w:rsidP="00292B0D">
      <w:pPr>
        <w:rPr>
          <w:b/>
          <w:bCs/>
          <w:i/>
        </w:rPr>
      </w:pPr>
      <w:r w:rsidRPr="003422CC">
        <w:rPr>
          <w:b/>
          <w:bCs/>
          <w:i/>
        </w:rPr>
        <w:t>Reading List</w:t>
      </w:r>
    </w:p>
    <w:p w:rsidR="00292B0D" w:rsidRPr="003422CC" w:rsidRDefault="00292B0D" w:rsidP="00292B0D">
      <w:pPr>
        <w:numPr>
          <w:ilvl w:val="0"/>
          <w:numId w:val="3"/>
        </w:numPr>
      </w:pPr>
      <w:proofErr w:type="spellStart"/>
      <w:r w:rsidRPr="003422CC">
        <w:t>VigdisSonge-Moller</w:t>
      </w:r>
      <w:proofErr w:type="spellEnd"/>
      <w:r w:rsidRPr="003422CC">
        <w:t xml:space="preserve">, 2003, </w:t>
      </w:r>
      <w:r w:rsidRPr="003422CC">
        <w:rPr>
          <w:i/>
          <w:iCs/>
        </w:rPr>
        <w:t>Philosophy Without Women: The Birth of Sexism in Western Thought</w:t>
      </w:r>
      <w:r w:rsidRPr="003422CC">
        <w:t xml:space="preserve">, Continuum International Publishing Group </w:t>
      </w:r>
    </w:p>
    <w:p w:rsidR="00292B0D" w:rsidRPr="003422CC" w:rsidRDefault="00292B0D" w:rsidP="00292B0D">
      <w:pPr>
        <w:numPr>
          <w:ilvl w:val="0"/>
          <w:numId w:val="3"/>
        </w:numPr>
      </w:pPr>
      <w:proofErr w:type="spellStart"/>
      <w:r w:rsidRPr="003422CC">
        <w:t>Waylen</w:t>
      </w:r>
      <w:proofErr w:type="spellEnd"/>
      <w:r w:rsidRPr="003422CC">
        <w:t xml:space="preserve"> Georgina, 1996, </w:t>
      </w:r>
      <w:r w:rsidRPr="003422CC">
        <w:rPr>
          <w:i/>
          <w:iCs/>
        </w:rPr>
        <w:t>Gender in Third World Politics</w:t>
      </w:r>
      <w:r w:rsidRPr="003422CC">
        <w:t xml:space="preserve">, Lynne </w:t>
      </w:r>
      <w:proofErr w:type="spellStart"/>
      <w:r w:rsidRPr="003422CC">
        <w:t>Rienner</w:t>
      </w:r>
      <w:proofErr w:type="spellEnd"/>
      <w:r w:rsidRPr="003422CC">
        <w:t xml:space="preserve"> Publishers Inc. </w:t>
      </w:r>
    </w:p>
    <w:p w:rsidR="00292B0D" w:rsidRPr="003422CC" w:rsidRDefault="00292B0D" w:rsidP="00292B0D">
      <w:pPr>
        <w:numPr>
          <w:ilvl w:val="0"/>
          <w:numId w:val="3"/>
        </w:numPr>
      </w:pPr>
      <w:r w:rsidRPr="003422CC">
        <w:t xml:space="preserve">Juliet Mitchell &amp; Ann Oakley, 1986, eds., </w:t>
      </w:r>
      <w:r w:rsidRPr="003422CC">
        <w:rPr>
          <w:i/>
          <w:iCs/>
        </w:rPr>
        <w:t>What is Feminism</w:t>
      </w:r>
      <w:r w:rsidRPr="003422CC">
        <w:t xml:space="preserve">, Basil Blackwell Ltd </w:t>
      </w:r>
    </w:p>
    <w:p w:rsidR="00292B0D" w:rsidRPr="003422CC" w:rsidRDefault="00292B0D" w:rsidP="00292B0D">
      <w:pPr>
        <w:numPr>
          <w:ilvl w:val="0"/>
          <w:numId w:val="3"/>
        </w:numPr>
      </w:pPr>
      <w:r w:rsidRPr="003422CC">
        <w:t xml:space="preserve">Christine </w:t>
      </w:r>
      <w:proofErr w:type="spellStart"/>
      <w:r w:rsidRPr="003422CC">
        <w:t>Obbo</w:t>
      </w:r>
      <w:proofErr w:type="spellEnd"/>
      <w:r w:rsidRPr="003422CC">
        <w:t xml:space="preserve">, 1980, </w:t>
      </w:r>
      <w:r w:rsidRPr="003422CC">
        <w:rPr>
          <w:i/>
          <w:iCs/>
        </w:rPr>
        <w:t xml:space="preserve">African Women: Their Struggle for Economic </w:t>
      </w:r>
      <w:smartTag w:uri="urn:schemas-microsoft-com:office:smarttags" w:element="City">
        <w:r w:rsidRPr="003422CC">
          <w:rPr>
            <w:i/>
            <w:iCs/>
          </w:rPr>
          <w:t>Independence</w:t>
        </w:r>
      </w:smartTag>
      <w:r w:rsidRPr="003422CC">
        <w:t xml:space="preserve">, Zed Press, </w:t>
      </w:r>
      <w:smartTag w:uri="urn:schemas-microsoft-com:office:smarttags" w:element="City">
        <w:smartTag w:uri="urn:schemas-microsoft-com:office:smarttags" w:element="place">
          <w:r w:rsidRPr="003422CC">
            <w:t>London</w:t>
          </w:r>
        </w:smartTag>
      </w:smartTag>
    </w:p>
    <w:p w:rsidR="00292B0D" w:rsidRPr="003422CC" w:rsidRDefault="00292B0D" w:rsidP="00292B0D">
      <w:pPr>
        <w:numPr>
          <w:ilvl w:val="0"/>
          <w:numId w:val="3"/>
        </w:numPr>
      </w:pPr>
      <w:r w:rsidRPr="003422CC">
        <w:t xml:space="preserve">Andrea Cornwall, 2005, ed., </w:t>
      </w:r>
      <w:smartTag w:uri="urn:schemas-microsoft-com:office:smarttags" w:element="City">
        <w:r w:rsidRPr="003422CC">
          <w:rPr>
            <w:i/>
            <w:iCs/>
          </w:rPr>
          <w:t>Readings</w:t>
        </w:r>
      </w:smartTag>
      <w:r w:rsidRPr="003422CC">
        <w:rPr>
          <w:i/>
          <w:iCs/>
        </w:rPr>
        <w:t xml:space="preserve"> in Gender in Africa</w:t>
      </w:r>
      <w:r w:rsidRPr="003422CC">
        <w:t xml:space="preserve">, </w:t>
      </w:r>
      <w:smartTag w:uri="urn:schemas-microsoft-com:office:smarttags" w:element="place">
        <w:smartTag w:uri="urn:schemas-microsoft-com:office:smarttags" w:element="PlaceName">
          <w:r w:rsidRPr="003422CC">
            <w:t>Indiana</w:t>
          </w:r>
        </w:smartTag>
        <w:smartTag w:uri="urn:schemas-microsoft-com:office:smarttags" w:element="PlaceType">
          <w:r w:rsidRPr="003422CC">
            <w:t>University</w:t>
          </w:r>
        </w:smartTag>
      </w:smartTag>
      <w:r w:rsidRPr="003422CC">
        <w:t xml:space="preserve"> Press </w:t>
      </w:r>
    </w:p>
    <w:p w:rsidR="00292B0D" w:rsidRPr="003422CC" w:rsidRDefault="00292B0D" w:rsidP="00292B0D">
      <w:pPr>
        <w:numPr>
          <w:ilvl w:val="0"/>
          <w:numId w:val="3"/>
        </w:numPr>
        <w:jc w:val="both"/>
      </w:pPr>
      <w:proofErr w:type="spellStart"/>
      <w:r w:rsidRPr="003422CC">
        <w:t>Aili</w:t>
      </w:r>
      <w:proofErr w:type="spellEnd"/>
      <w:r w:rsidRPr="003422CC">
        <w:t xml:space="preserve"> Mari Tripp () “A Foot in the Door: Historical Dimensions of the Women's Movement in </w:t>
      </w:r>
      <w:smartTag w:uri="urn:schemas-microsoft-com:office:smarttags" w:element="country-region">
        <w:smartTag w:uri="urn:schemas-microsoft-com:office:smarttags" w:element="place">
          <w:r w:rsidRPr="003422CC">
            <w:t>Uganda</w:t>
          </w:r>
        </w:smartTag>
      </w:smartTag>
      <w:r w:rsidRPr="003422CC">
        <w:t xml:space="preserve">” </w:t>
      </w:r>
    </w:p>
    <w:p w:rsidR="00292B0D" w:rsidRPr="003422CC" w:rsidRDefault="00292B0D" w:rsidP="00292B0D">
      <w:pPr>
        <w:numPr>
          <w:ilvl w:val="0"/>
          <w:numId w:val="3"/>
        </w:numPr>
        <w:jc w:val="both"/>
      </w:pPr>
      <w:r w:rsidRPr="003422CC">
        <w:t xml:space="preserve">Melissa A. Butler (1978) “Early Liberal Roots of Feminism: Locke and the Attack on Patriarchy”, </w:t>
      </w:r>
      <w:r w:rsidRPr="003422CC">
        <w:rPr>
          <w:rStyle w:val="HTMLCite"/>
        </w:rPr>
        <w:t>The American Political Science Review</w:t>
      </w:r>
      <w:r w:rsidRPr="003422CC">
        <w:rPr>
          <w:rStyle w:val="apple-converted-space"/>
        </w:rPr>
        <w:t xml:space="preserve">, </w:t>
      </w:r>
      <w:r w:rsidRPr="003422CC">
        <w:rPr>
          <w:rStyle w:val="apple-style-span"/>
        </w:rPr>
        <w:t>Vol. 72, No. 1 (Mar., 1978), pp. 135-150</w:t>
      </w:r>
    </w:p>
    <w:p w:rsidR="00292B0D" w:rsidRPr="003422CC" w:rsidRDefault="00292B0D" w:rsidP="00292B0D">
      <w:pPr>
        <w:numPr>
          <w:ilvl w:val="0"/>
          <w:numId w:val="3"/>
        </w:numPr>
        <w:autoSpaceDE w:val="0"/>
        <w:autoSpaceDN w:val="0"/>
        <w:adjustRightInd w:val="0"/>
        <w:rPr>
          <w:rFonts w:eastAsia="SimSun"/>
          <w:lang w:val="en-GB" w:eastAsia="zh-CN"/>
        </w:rPr>
      </w:pPr>
      <w:proofErr w:type="spellStart"/>
      <w:r w:rsidRPr="003422CC">
        <w:t>AmartyaSen</w:t>
      </w:r>
      <w:proofErr w:type="spellEnd"/>
      <w:r w:rsidRPr="003422CC">
        <w:t xml:space="preserve"> (1995)</w:t>
      </w:r>
      <w:r w:rsidRPr="003422CC">
        <w:rPr>
          <w:rFonts w:eastAsia="SimSun"/>
          <w:lang w:val="en-GB" w:eastAsia="zh-CN"/>
        </w:rPr>
        <w:t xml:space="preserve">“Gender Inequality and Theories of Justice,” in Martha Nussbaum and Jonathan Glover, eds., </w:t>
      </w:r>
      <w:r w:rsidRPr="003422CC">
        <w:rPr>
          <w:rFonts w:eastAsia="SimSun"/>
          <w:i/>
          <w:iCs/>
          <w:lang w:val="en-GB" w:eastAsia="zh-CN"/>
        </w:rPr>
        <w:t xml:space="preserve">Women, Culture and Development </w:t>
      </w:r>
      <w:r w:rsidRPr="003422CC">
        <w:rPr>
          <w:rFonts w:eastAsia="SimSun"/>
          <w:lang w:val="en-GB" w:eastAsia="zh-CN"/>
        </w:rPr>
        <w:t xml:space="preserve">(Oxford: Clarendon Press, 1995) </w:t>
      </w:r>
    </w:p>
    <w:p w:rsidR="00292B0D" w:rsidRDefault="00292B0D" w:rsidP="00292B0D">
      <w:pPr>
        <w:numPr>
          <w:ilvl w:val="0"/>
          <w:numId w:val="3"/>
        </w:numPr>
        <w:jc w:val="both"/>
      </w:pPr>
      <w:r w:rsidRPr="003422CC">
        <w:t xml:space="preserve">Sylvia Tamale, “Gender implications for opening up political parties in </w:t>
      </w:r>
      <w:smartTag w:uri="urn:schemas-microsoft-com:office:smarttags" w:element="place">
        <w:smartTag w:uri="urn:schemas-microsoft-com:office:smarttags" w:element="country-region">
          <w:r w:rsidRPr="003422CC">
            <w:t>Uganda</w:t>
          </w:r>
        </w:smartTag>
      </w:smartTag>
      <w:r w:rsidRPr="003422CC">
        <w:t>”</w:t>
      </w:r>
    </w:p>
    <w:p w:rsidR="001C3396" w:rsidRDefault="001C3396"/>
    <w:sectPr w:rsidR="001C3396" w:rsidSect="00645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831"/>
    <w:multiLevelType w:val="hybridMultilevel"/>
    <w:tmpl w:val="3CA4EA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F63F4A"/>
    <w:multiLevelType w:val="hybridMultilevel"/>
    <w:tmpl w:val="57AA8A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D56315"/>
    <w:multiLevelType w:val="hybridMultilevel"/>
    <w:tmpl w:val="78C23694"/>
    <w:lvl w:ilvl="0" w:tplc="04090011">
      <w:start w:val="1"/>
      <w:numFmt w:val="decimal"/>
      <w:lvlText w:val="%1)"/>
      <w:lvlJc w:val="left"/>
      <w:pPr>
        <w:tabs>
          <w:tab w:val="num" w:pos="360"/>
        </w:tabs>
        <w:ind w:left="360" w:hanging="360"/>
      </w:pPr>
    </w:lvl>
    <w:lvl w:ilvl="1" w:tplc="3ABEDBFE">
      <w:start w:val="22"/>
      <w:numFmt w:val="lowerRoman"/>
      <w:lvlText w:val="(%2)"/>
      <w:lvlJc w:val="left"/>
      <w:pPr>
        <w:tabs>
          <w:tab w:val="num" w:pos="1440"/>
        </w:tabs>
        <w:ind w:left="1440" w:hanging="720"/>
      </w:pPr>
      <w:rPr>
        <w:rFonts w:hint="default"/>
      </w:rPr>
    </w:lvl>
    <w:lvl w:ilvl="2" w:tplc="5D609598">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92B0D"/>
    <w:rsid w:val="00050608"/>
    <w:rsid w:val="001668D8"/>
    <w:rsid w:val="001C3396"/>
    <w:rsid w:val="001F160E"/>
    <w:rsid w:val="00292B0D"/>
    <w:rsid w:val="00563212"/>
    <w:rsid w:val="006450A3"/>
    <w:rsid w:val="00745640"/>
    <w:rsid w:val="008F7FC7"/>
    <w:rsid w:val="00970755"/>
    <w:rsid w:val="00BB434B"/>
    <w:rsid w:val="00BF0D71"/>
    <w:rsid w:val="00DA19F4"/>
    <w:rsid w:val="00E324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2B0D"/>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B0D"/>
    <w:rPr>
      <w:rFonts w:ascii="Times New Roman" w:eastAsia="Times New Roman" w:hAnsi="Times New Roman" w:cs="Times New Roman"/>
      <w:sz w:val="24"/>
      <w:szCs w:val="24"/>
    </w:rPr>
  </w:style>
  <w:style w:type="character" w:customStyle="1" w:styleId="apple-style-span">
    <w:name w:val="apple-style-span"/>
    <w:basedOn w:val="DefaultParagraphFont"/>
    <w:rsid w:val="00292B0D"/>
  </w:style>
  <w:style w:type="character" w:customStyle="1" w:styleId="apple-converted-space">
    <w:name w:val="apple-converted-space"/>
    <w:basedOn w:val="DefaultParagraphFont"/>
    <w:rsid w:val="00292B0D"/>
  </w:style>
  <w:style w:type="character" w:styleId="HTMLCite">
    <w:name w:val="HTML Cite"/>
    <w:basedOn w:val="DefaultParagraphFont"/>
    <w:rsid w:val="00292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2B0D"/>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B0D"/>
    <w:rPr>
      <w:rFonts w:ascii="Times New Roman" w:eastAsia="Times New Roman" w:hAnsi="Times New Roman" w:cs="Times New Roman"/>
      <w:sz w:val="24"/>
      <w:szCs w:val="24"/>
    </w:rPr>
  </w:style>
  <w:style w:type="character" w:customStyle="1" w:styleId="apple-style-span">
    <w:name w:val="apple-style-span"/>
    <w:basedOn w:val="DefaultParagraphFont"/>
    <w:rsid w:val="00292B0D"/>
  </w:style>
  <w:style w:type="character" w:customStyle="1" w:styleId="apple-converted-space">
    <w:name w:val="apple-converted-space"/>
    <w:basedOn w:val="DefaultParagraphFont"/>
    <w:rsid w:val="00292B0D"/>
  </w:style>
  <w:style w:type="character" w:styleId="HTMLCite">
    <w:name w:val="HTML Cite"/>
    <w:basedOn w:val="DefaultParagraphFont"/>
    <w:rsid w:val="00292B0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3117</Characters>
  <Application>Microsoft Office Word</Application>
  <DocSecurity>0</DocSecurity>
  <Lines>25</Lines>
  <Paragraphs>7</Paragraphs>
  <ScaleCrop>false</ScaleCrop>
  <Company>Microsoft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2014-06-16T10:40:00Z</dcterms:created>
  <dcterms:modified xsi:type="dcterms:W3CDTF">2014-06-16T10:40:00Z</dcterms:modified>
</cp:coreProperties>
</file>