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70" w:rsidRPr="00664919" w:rsidRDefault="00281670" w:rsidP="00281670">
      <w:pPr>
        <w:rPr>
          <w:rFonts w:ascii="Arial Narrow" w:hAnsi="Arial Narrow"/>
          <w:b/>
          <w:sz w:val="22"/>
          <w:szCs w:val="22"/>
          <w:u w:val="single"/>
        </w:rPr>
      </w:pPr>
      <w:r>
        <w:rPr>
          <w:rFonts w:ascii="Arial Narrow" w:hAnsi="Arial Narrow"/>
          <w:b/>
          <w:sz w:val="22"/>
          <w:szCs w:val="22"/>
          <w:u w:val="single"/>
        </w:rPr>
        <w:t xml:space="preserve">SSL 2104 </w:t>
      </w:r>
      <w:r w:rsidRPr="00664919">
        <w:rPr>
          <w:rFonts w:ascii="Arial Narrow" w:hAnsi="Arial Narrow"/>
          <w:b/>
          <w:sz w:val="22"/>
          <w:szCs w:val="22"/>
          <w:u w:val="single"/>
        </w:rPr>
        <w:t xml:space="preserve"> COMMON PROPERTY MANAGEMENT  </w:t>
      </w:r>
    </w:p>
    <w:p w:rsidR="00281670" w:rsidRPr="00664919" w:rsidRDefault="00281670" w:rsidP="00281670">
      <w:pPr>
        <w:rPr>
          <w:rFonts w:ascii="Arial Narrow" w:hAnsi="Arial Narrow"/>
          <w:sz w:val="22"/>
          <w:szCs w:val="22"/>
        </w:rPr>
      </w:pPr>
    </w:p>
    <w:p w:rsidR="00281670" w:rsidRPr="00664919" w:rsidRDefault="00281670" w:rsidP="00281670">
      <w:pPr>
        <w:rPr>
          <w:rFonts w:ascii="Arial Narrow" w:hAnsi="Arial Narrow"/>
          <w:sz w:val="22"/>
          <w:szCs w:val="22"/>
        </w:rPr>
      </w:pPr>
      <w:r w:rsidRPr="00664919">
        <w:rPr>
          <w:rFonts w:ascii="Arial Narrow" w:hAnsi="Arial Narrow"/>
          <w:sz w:val="22"/>
          <w:szCs w:val="22"/>
        </w:rPr>
        <w:t>INSTRUCTORS: Priscilla Nyadoi (BSc. Forestry MAK; MSc. Forestry, PhD (Forestry Mak)</w:t>
      </w:r>
    </w:p>
    <w:p w:rsidR="00281670" w:rsidRPr="00664919" w:rsidRDefault="00281670" w:rsidP="00281670">
      <w:pPr>
        <w:rPr>
          <w:rFonts w:ascii="Arial Narrow" w:hAnsi="Arial Narrow"/>
          <w:sz w:val="22"/>
          <w:szCs w:val="22"/>
        </w:rPr>
      </w:pPr>
    </w:p>
    <w:p w:rsidR="00281670" w:rsidRPr="00664919" w:rsidRDefault="00281670" w:rsidP="00281670">
      <w:pPr>
        <w:rPr>
          <w:rFonts w:ascii="Arial Narrow" w:hAnsi="Arial Narrow"/>
          <w:b/>
          <w:sz w:val="22"/>
          <w:szCs w:val="22"/>
        </w:rPr>
      </w:pPr>
      <w:r w:rsidRPr="00664919">
        <w:rPr>
          <w:rFonts w:ascii="Arial Narrow" w:hAnsi="Arial Narrow"/>
          <w:b/>
          <w:sz w:val="22"/>
          <w:szCs w:val="22"/>
        </w:rPr>
        <w:t xml:space="preserve">COURSE TYPE: </w:t>
      </w:r>
    </w:p>
    <w:p w:rsidR="00281670" w:rsidRPr="00664919" w:rsidRDefault="00281670" w:rsidP="00281670">
      <w:pPr>
        <w:rPr>
          <w:rFonts w:ascii="Arial Narrow" w:hAnsi="Arial Narrow"/>
          <w:sz w:val="22"/>
          <w:szCs w:val="22"/>
        </w:rPr>
      </w:pPr>
      <w:r w:rsidRPr="00664919">
        <w:rPr>
          <w:rFonts w:ascii="Arial Narrow" w:hAnsi="Arial Narrow"/>
          <w:sz w:val="22"/>
          <w:szCs w:val="22"/>
        </w:rPr>
        <w:t xml:space="preserve">Core for BSc. LUM  </w:t>
      </w:r>
    </w:p>
    <w:p w:rsidR="00281670" w:rsidRPr="00664919" w:rsidRDefault="00281670" w:rsidP="00281670">
      <w:pPr>
        <w:pStyle w:val="ListParagraph"/>
        <w:rPr>
          <w:rFonts w:ascii="Arial Narrow" w:hAnsi="Arial Narrow"/>
          <w:sz w:val="22"/>
          <w:szCs w:val="22"/>
        </w:rPr>
      </w:pPr>
    </w:p>
    <w:p w:rsidR="00281670" w:rsidRPr="00664919" w:rsidRDefault="00281670" w:rsidP="00281670">
      <w:pPr>
        <w:rPr>
          <w:rFonts w:ascii="Arial Narrow" w:hAnsi="Arial Narrow"/>
          <w:b/>
          <w:sz w:val="22"/>
          <w:szCs w:val="22"/>
        </w:rPr>
      </w:pPr>
      <w:r w:rsidRPr="00664919">
        <w:rPr>
          <w:rFonts w:ascii="Arial Narrow" w:hAnsi="Arial Narrow"/>
          <w:b/>
          <w:sz w:val="22"/>
          <w:szCs w:val="22"/>
        </w:rPr>
        <w:t>COURSE STRUCTURE:</w:t>
      </w:r>
    </w:p>
    <w:p w:rsidR="00281670" w:rsidRPr="00664919" w:rsidRDefault="00281670" w:rsidP="00281670">
      <w:pPr>
        <w:rPr>
          <w:rFonts w:ascii="Arial Narrow" w:hAnsi="Arial Narrow"/>
          <w:sz w:val="22"/>
          <w:szCs w:val="22"/>
        </w:rPr>
      </w:pPr>
      <w:r w:rsidRPr="00664919">
        <w:rPr>
          <w:rFonts w:ascii="Arial Narrow" w:hAnsi="Arial Narrow"/>
          <w:sz w:val="22"/>
          <w:szCs w:val="22"/>
        </w:rPr>
        <w:t xml:space="preserve">Course Credits (CU): 3 </w:t>
      </w:r>
    </w:p>
    <w:p w:rsidR="00281670" w:rsidRPr="00664919" w:rsidRDefault="00281670" w:rsidP="00281670">
      <w:pPr>
        <w:rPr>
          <w:rFonts w:ascii="Arial Narrow" w:hAnsi="Arial Narrow"/>
          <w:sz w:val="22"/>
          <w:szCs w:val="22"/>
        </w:rPr>
      </w:pPr>
      <w:r w:rsidRPr="00664919">
        <w:rPr>
          <w:rFonts w:ascii="Arial Narrow" w:hAnsi="Arial Narrow"/>
          <w:sz w:val="22"/>
          <w:szCs w:val="22"/>
        </w:rPr>
        <w:t>Course Duration: 15 weeks, 30 lectures hours and 15 hours practical</w:t>
      </w:r>
    </w:p>
    <w:p w:rsidR="00281670" w:rsidRPr="00664919" w:rsidRDefault="00281670" w:rsidP="00281670">
      <w:pPr>
        <w:rPr>
          <w:rFonts w:ascii="Arial Narrow" w:hAnsi="Arial Narrow"/>
          <w:b/>
          <w:sz w:val="22"/>
          <w:szCs w:val="22"/>
        </w:rPr>
      </w:pPr>
    </w:p>
    <w:p w:rsidR="00281670" w:rsidRPr="00664919" w:rsidRDefault="00281670" w:rsidP="00281670">
      <w:pPr>
        <w:rPr>
          <w:rFonts w:ascii="Arial Narrow" w:hAnsi="Arial Narrow"/>
          <w:b/>
          <w:sz w:val="22"/>
          <w:szCs w:val="22"/>
        </w:rPr>
      </w:pPr>
      <w:r w:rsidRPr="00664919">
        <w:rPr>
          <w:rFonts w:ascii="Arial Narrow" w:hAnsi="Arial Narrow"/>
          <w:b/>
          <w:sz w:val="22"/>
          <w:szCs w:val="22"/>
        </w:rPr>
        <w:t>COURSE DESCRIPTION:</w:t>
      </w:r>
    </w:p>
    <w:p w:rsidR="00281670" w:rsidRPr="00664919" w:rsidRDefault="00281670" w:rsidP="00281670">
      <w:pPr>
        <w:jc w:val="both"/>
        <w:rPr>
          <w:rFonts w:ascii="Arial Narrow" w:hAnsi="Arial Narrow"/>
          <w:sz w:val="22"/>
          <w:szCs w:val="22"/>
        </w:rPr>
      </w:pPr>
      <w:r w:rsidRPr="00664919">
        <w:rPr>
          <w:rFonts w:ascii="Arial Narrow" w:hAnsi="Arial Narrow"/>
          <w:sz w:val="22"/>
          <w:szCs w:val="22"/>
        </w:rPr>
        <w:t xml:space="preserve">Introduction. Rationale for the study of common property regimes and common pool resources. Conceptual framework for common property management. Common property and natural resource management. Collective action in common property regimes. Access to resources held under common property arrangements. Behavioral theories in common property regimes. Natural resource management situations and the likelihood of collective action. Design criteria that make common property systems robust. </w:t>
      </w:r>
    </w:p>
    <w:p w:rsidR="00281670" w:rsidRPr="00664919" w:rsidRDefault="00281670" w:rsidP="00281670">
      <w:pPr>
        <w:jc w:val="both"/>
        <w:rPr>
          <w:rFonts w:ascii="Arial Narrow" w:hAnsi="Arial Narrow"/>
          <w:b/>
          <w:sz w:val="22"/>
          <w:szCs w:val="22"/>
        </w:rPr>
      </w:pPr>
      <w:r w:rsidRPr="00664919">
        <w:rPr>
          <w:rFonts w:ascii="Arial Narrow" w:hAnsi="Arial Narrow"/>
          <w:b/>
          <w:sz w:val="22"/>
          <w:szCs w:val="22"/>
        </w:rPr>
        <w:t>COURSE OBJECTIVES:</w:t>
      </w:r>
    </w:p>
    <w:p w:rsidR="00281670" w:rsidRPr="00664919" w:rsidRDefault="00281670" w:rsidP="00281670">
      <w:pPr>
        <w:jc w:val="both"/>
        <w:rPr>
          <w:rFonts w:ascii="Arial Narrow" w:hAnsi="Arial Narrow"/>
          <w:sz w:val="22"/>
          <w:szCs w:val="22"/>
        </w:rPr>
      </w:pPr>
      <w:r w:rsidRPr="00664919">
        <w:rPr>
          <w:rFonts w:ascii="Arial Narrow" w:hAnsi="Arial Narrow"/>
          <w:sz w:val="22"/>
          <w:szCs w:val="22"/>
        </w:rPr>
        <w:t>General objective:</w:t>
      </w:r>
    </w:p>
    <w:p w:rsidR="00281670" w:rsidRPr="00664919" w:rsidRDefault="00281670" w:rsidP="00281670">
      <w:pPr>
        <w:jc w:val="both"/>
        <w:rPr>
          <w:rFonts w:ascii="Arial Narrow" w:hAnsi="Arial Narrow"/>
          <w:sz w:val="22"/>
          <w:szCs w:val="22"/>
        </w:rPr>
      </w:pPr>
      <w:r w:rsidRPr="00664919">
        <w:rPr>
          <w:rFonts w:ascii="Arial Narrow" w:hAnsi="Arial Narrow"/>
          <w:sz w:val="22"/>
          <w:szCs w:val="22"/>
        </w:rPr>
        <w:t>To enable students understand and appreciate the concept of common property and collective action and their applications in management of natural and related resources.</w:t>
      </w:r>
    </w:p>
    <w:p w:rsidR="00281670" w:rsidRPr="00664919" w:rsidRDefault="00281670" w:rsidP="00281670">
      <w:pPr>
        <w:jc w:val="both"/>
        <w:rPr>
          <w:rFonts w:ascii="Arial Narrow" w:hAnsi="Arial Narrow"/>
          <w:sz w:val="22"/>
          <w:szCs w:val="22"/>
        </w:rPr>
      </w:pPr>
      <w:r w:rsidRPr="00664919">
        <w:rPr>
          <w:rFonts w:ascii="Arial Narrow" w:hAnsi="Arial Narrow"/>
          <w:sz w:val="22"/>
          <w:szCs w:val="22"/>
        </w:rPr>
        <w:t>Specific objectives:</w:t>
      </w:r>
    </w:p>
    <w:p w:rsidR="00281670" w:rsidRPr="00664919" w:rsidRDefault="00281670" w:rsidP="00281670">
      <w:pPr>
        <w:jc w:val="both"/>
        <w:rPr>
          <w:rFonts w:ascii="Arial Narrow" w:hAnsi="Arial Narrow"/>
          <w:sz w:val="22"/>
          <w:szCs w:val="22"/>
        </w:rPr>
      </w:pPr>
      <w:r w:rsidRPr="00664919">
        <w:rPr>
          <w:rFonts w:ascii="Arial Narrow" w:hAnsi="Arial Narrow"/>
          <w:sz w:val="22"/>
          <w:szCs w:val="22"/>
        </w:rPr>
        <w:t xml:space="preserve">To equip students with skills and knowledge on common property and collective action and their applications in management of natural and related resources. </w:t>
      </w:r>
    </w:p>
    <w:p w:rsidR="00281670" w:rsidRPr="00664919" w:rsidRDefault="00281670" w:rsidP="00281670">
      <w:pPr>
        <w:jc w:val="both"/>
        <w:rPr>
          <w:rFonts w:ascii="Arial Narrow" w:hAnsi="Arial Narrow"/>
          <w:sz w:val="22"/>
          <w:szCs w:val="22"/>
        </w:rPr>
      </w:pPr>
    </w:p>
    <w:p w:rsidR="00281670" w:rsidRPr="00664919" w:rsidRDefault="00281670" w:rsidP="00281670">
      <w:pPr>
        <w:jc w:val="both"/>
        <w:rPr>
          <w:rFonts w:ascii="Arial Narrow" w:hAnsi="Arial Narrow"/>
          <w:b/>
          <w:sz w:val="22"/>
          <w:szCs w:val="22"/>
        </w:rPr>
      </w:pPr>
      <w:r w:rsidRPr="00664919">
        <w:rPr>
          <w:rFonts w:ascii="Arial Narrow" w:hAnsi="Arial Narrow"/>
          <w:b/>
          <w:sz w:val="22"/>
          <w:szCs w:val="22"/>
        </w:rPr>
        <w:t xml:space="preserve">RECOMMEMDED REFERENCES FOR </w:t>
      </w:r>
      <w:smartTag w:uri="urn:schemas-microsoft-com:office:smarttags" w:element="place">
        <w:smartTag w:uri="urn:schemas-microsoft-com:office:smarttags" w:element="City">
          <w:r w:rsidRPr="00664919">
            <w:rPr>
              <w:rFonts w:ascii="Arial Narrow" w:hAnsi="Arial Narrow"/>
              <w:b/>
              <w:sz w:val="22"/>
              <w:szCs w:val="22"/>
            </w:rPr>
            <w:t>READING</w:t>
          </w:r>
        </w:smartTag>
      </w:smartTag>
    </w:p>
    <w:p w:rsidR="00281670" w:rsidRPr="00664919" w:rsidRDefault="00281670" w:rsidP="00281670">
      <w:pPr>
        <w:pStyle w:val="ListParagraph"/>
        <w:ind w:left="360"/>
        <w:jc w:val="both"/>
        <w:rPr>
          <w:rFonts w:ascii="Arial Narrow" w:hAnsi="Arial Narrow"/>
          <w:sz w:val="22"/>
          <w:szCs w:val="22"/>
        </w:rPr>
      </w:pPr>
      <w:r w:rsidRPr="00664919">
        <w:rPr>
          <w:rFonts w:ascii="Arial Narrow" w:hAnsi="Arial Narrow"/>
          <w:sz w:val="22"/>
          <w:szCs w:val="22"/>
        </w:rPr>
        <w:t xml:space="preserve">Blaikie, P. and </w:t>
      </w:r>
      <w:smartTag w:uri="urn:schemas-microsoft-com:office:smarttags" w:element="place">
        <w:smartTag w:uri="urn:schemas-microsoft-com:office:smarttags" w:element="City">
          <w:r w:rsidRPr="00664919">
            <w:rPr>
              <w:rFonts w:ascii="Arial Narrow" w:hAnsi="Arial Narrow"/>
              <w:sz w:val="22"/>
              <w:szCs w:val="22"/>
            </w:rPr>
            <w:t>Brookfield</w:t>
          </w:r>
        </w:smartTag>
      </w:smartTag>
      <w:r w:rsidRPr="00664919">
        <w:rPr>
          <w:rFonts w:ascii="Arial Narrow" w:hAnsi="Arial Narrow"/>
          <w:sz w:val="22"/>
          <w:szCs w:val="22"/>
        </w:rPr>
        <w:t xml:space="preserve">, H. 1987. The degradation of common property resources; common property resources and degradation worldwide. In. Blaikie, P. and </w:t>
      </w:r>
      <w:smartTag w:uri="urn:schemas-microsoft-com:office:smarttags" w:element="place">
        <w:smartTag w:uri="urn:schemas-microsoft-com:office:smarttags" w:element="City">
          <w:r w:rsidRPr="00664919">
            <w:rPr>
              <w:rFonts w:ascii="Arial Narrow" w:hAnsi="Arial Narrow"/>
              <w:sz w:val="22"/>
              <w:szCs w:val="22"/>
            </w:rPr>
            <w:t>Brookfield</w:t>
          </w:r>
        </w:smartTag>
      </w:smartTag>
      <w:r w:rsidRPr="00664919">
        <w:rPr>
          <w:rFonts w:ascii="Arial Narrow" w:hAnsi="Arial Narrow"/>
          <w:sz w:val="22"/>
          <w:szCs w:val="22"/>
        </w:rPr>
        <w:t xml:space="preserve">, H. (eds.). Land degradation and Society. </w:t>
      </w:r>
      <w:smartTag w:uri="urn:schemas-microsoft-com:office:smarttags" w:element="City">
        <w:r w:rsidRPr="00664919">
          <w:rPr>
            <w:rFonts w:ascii="Arial Narrow" w:hAnsi="Arial Narrow"/>
            <w:sz w:val="22"/>
            <w:szCs w:val="22"/>
          </w:rPr>
          <w:t>Methuen</w:t>
        </w:r>
      </w:smartTag>
      <w:r w:rsidRPr="00664919">
        <w:rPr>
          <w:rFonts w:ascii="Arial Narrow" w:hAnsi="Arial Narrow"/>
          <w:sz w:val="22"/>
          <w:szCs w:val="22"/>
        </w:rPr>
        <w:t xml:space="preserve">, </w:t>
      </w:r>
      <w:smartTag w:uri="urn:schemas-microsoft-com:office:smarttags" w:element="place">
        <w:smartTag w:uri="urn:schemas-microsoft-com:office:smarttags" w:element="City">
          <w:r w:rsidRPr="00664919">
            <w:rPr>
              <w:rFonts w:ascii="Arial Narrow" w:hAnsi="Arial Narrow"/>
              <w:sz w:val="22"/>
              <w:szCs w:val="22"/>
            </w:rPr>
            <w:t>London</w:t>
          </w:r>
        </w:smartTag>
        <w:r w:rsidRPr="00664919">
          <w:rPr>
            <w:rFonts w:ascii="Arial Narrow" w:hAnsi="Arial Narrow"/>
            <w:sz w:val="22"/>
            <w:szCs w:val="22"/>
          </w:rPr>
          <w:t xml:space="preserve">, </w:t>
        </w:r>
        <w:smartTag w:uri="urn:schemas-microsoft-com:office:smarttags" w:element="country-region">
          <w:r w:rsidRPr="00664919">
            <w:rPr>
              <w:rFonts w:ascii="Arial Narrow" w:hAnsi="Arial Narrow"/>
              <w:sz w:val="22"/>
              <w:szCs w:val="22"/>
            </w:rPr>
            <w:t>UK</w:t>
          </w:r>
        </w:smartTag>
      </w:smartTag>
      <w:r w:rsidRPr="00664919">
        <w:rPr>
          <w:rFonts w:ascii="Arial Narrow" w:hAnsi="Arial Narrow"/>
          <w:sz w:val="22"/>
          <w:szCs w:val="22"/>
        </w:rPr>
        <w:t>.</w:t>
      </w:r>
    </w:p>
    <w:p w:rsidR="00281670" w:rsidRPr="00664919" w:rsidRDefault="00281670" w:rsidP="00281670">
      <w:pPr>
        <w:pStyle w:val="ListParagraph"/>
        <w:ind w:left="360"/>
        <w:jc w:val="both"/>
        <w:rPr>
          <w:rFonts w:ascii="Arial Narrow" w:hAnsi="Arial Narrow"/>
          <w:sz w:val="22"/>
          <w:szCs w:val="22"/>
        </w:rPr>
      </w:pPr>
    </w:p>
    <w:p w:rsidR="00281670" w:rsidRPr="00664919" w:rsidRDefault="00281670" w:rsidP="00281670">
      <w:pPr>
        <w:pStyle w:val="ListParagraph"/>
        <w:ind w:left="360"/>
        <w:jc w:val="both"/>
        <w:rPr>
          <w:rFonts w:ascii="Arial Narrow" w:hAnsi="Arial Narrow"/>
          <w:sz w:val="22"/>
          <w:szCs w:val="22"/>
        </w:rPr>
      </w:pPr>
      <w:r w:rsidRPr="00664919">
        <w:rPr>
          <w:rFonts w:ascii="Arial Narrow" w:hAnsi="Arial Narrow"/>
          <w:sz w:val="22"/>
          <w:szCs w:val="22"/>
        </w:rPr>
        <w:t xml:space="preserve">Ciriacy- Wantrup, S.V. and Bishop, R.C. 1975. Common Property as a concept in natural resource policy. Natural Resources Journal 15: 713-127. </w:t>
      </w:r>
    </w:p>
    <w:p w:rsidR="00281670" w:rsidRPr="00664919" w:rsidRDefault="00281670" w:rsidP="00281670">
      <w:pPr>
        <w:pStyle w:val="ListParagraph"/>
        <w:ind w:left="360"/>
        <w:jc w:val="both"/>
        <w:rPr>
          <w:rFonts w:ascii="Arial Narrow" w:hAnsi="Arial Narrow"/>
          <w:sz w:val="22"/>
          <w:szCs w:val="22"/>
        </w:rPr>
      </w:pPr>
    </w:p>
    <w:p w:rsidR="00281670" w:rsidRPr="00664919" w:rsidRDefault="00281670" w:rsidP="00281670">
      <w:pPr>
        <w:pStyle w:val="ListParagraph"/>
        <w:ind w:left="360"/>
        <w:jc w:val="both"/>
        <w:rPr>
          <w:rFonts w:ascii="Arial Narrow" w:hAnsi="Arial Narrow"/>
          <w:sz w:val="22"/>
          <w:szCs w:val="22"/>
        </w:rPr>
      </w:pPr>
      <w:r w:rsidRPr="00664919">
        <w:rPr>
          <w:rFonts w:ascii="Arial Narrow" w:hAnsi="Arial Narrow"/>
          <w:sz w:val="22"/>
          <w:szCs w:val="22"/>
        </w:rPr>
        <w:t xml:space="preserve">Gardner, R., Ostrom, E. and Walkter, J. 1989. The nature of common-pool resource problems. A paper presented at the choice society meetings, 17-19 March 1989, </w:t>
      </w:r>
      <w:smartTag w:uri="urn:schemas-microsoft-com:office:smarttags" w:element="place">
        <w:smartTag w:uri="urn:schemas-microsoft-com:office:smarttags" w:element="City">
          <w:r w:rsidRPr="00664919">
            <w:rPr>
              <w:rFonts w:ascii="Arial Narrow" w:hAnsi="Arial Narrow"/>
              <w:sz w:val="22"/>
              <w:szCs w:val="22"/>
            </w:rPr>
            <w:t>Orlando</w:t>
          </w:r>
        </w:smartTag>
        <w:r w:rsidRPr="00664919">
          <w:rPr>
            <w:rFonts w:ascii="Arial Narrow" w:hAnsi="Arial Narrow"/>
            <w:sz w:val="22"/>
            <w:szCs w:val="22"/>
          </w:rPr>
          <w:t xml:space="preserve">, </w:t>
        </w:r>
        <w:smartTag w:uri="urn:schemas-microsoft-com:office:smarttags" w:element="country-region">
          <w:r w:rsidRPr="00664919">
            <w:rPr>
              <w:rFonts w:ascii="Arial Narrow" w:hAnsi="Arial Narrow"/>
              <w:sz w:val="22"/>
              <w:szCs w:val="22"/>
            </w:rPr>
            <w:t>USA</w:t>
          </w:r>
        </w:smartTag>
      </w:smartTag>
      <w:r w:rsidRPr="00664919">
        <w:rPr>
          <w:rFonts w:ascii="Arial Narrow" w:hAnsi="Arial Narrow"/>
          <w:sz w:val="22"/>
          <w:szCs w:val="22"/>
        </w:rPr>
        <w:t xml:space="preserve">. </w:t>
      </w:r>
      <w:smartTag w:uri="urn:schemas-microsoft-com:office:smarttags" w:element="PlaceName">
        <w:r w:rsidRPr="00664919">
          <w:rPr>
            <w:rFonts w:ascii="Arial Narrow" w:hAnsi="Arial Narrow"/>
            <w:sz w:val="22"/>
            <w:szCs w:val="22"/>
          </w:rPr>
          <w:t>Indiana</w:t>
        </w:r>
      </w:smartTag>
      <w:smartTag w:uri="urn:schemas-microsoft-com:office:smarttags" w:element="PlaceType">
        <w:r w:rsidRPr="00664919">
          <w:rPr>
            <w:rFonts w:ascii="Arial Narrow" w:hAnsi="Arial Narrow"/>
            <w:sz w:val="22"/>
            <w:szCs w:val="22"/>
          </w:rPr>
          <w:t>University</w:t>
        </w:r>
      </w:smartTag>
      <w:r w:rsidRPr="00664919">
        <w:rPr>
          <w:rFonts w:ascii="Arial Narrow" w:hAnsi="Arial Narrow"/>
          <w:sz w:val="22"/>
          <w:szCs w:val="22"/>
        </w:rPr>
        <w:t xml:space="preserve">, </w:t>
      </w:r>
      <w:smartTag w:uri="urn:schemas-microsoft-com:office:smarttags" w:element="place">
        <w:smartTag w:uri="urn:schemas-microsoft-com:office:smarttags" w:element="City">
          <w:r w:rsidRPr="00664919">
            <w:rPr>
              <w:rFonts w:ascii="Arial Narrow" w:hAnsi="Arial Narrow"/>
              <w:sz w:val="22"/>
              <w:szCs w:val="22"/>
            </w:rPr>
            <w:t>Bloomington</w:t>
          </w:r>
        </w:smartTag>
        <w:r w:rsidRPr="00664919">
          <w:rPr>
            <w:rFonts w:ascii="Arial Narrow" w:hAnsi="Arial Narrow"/>
            <w:sz w:val="22"/>
            <w:szCs w:val="22"/>
          </w:rPr>
          <w:t xml:space="preserve">, </w:t>
        </w:r>
        <w:smartTag w:uri="urn:schemas-microsoft-com:office:smarttags" w:element="country-region">
          <w:r w:rsidRPr="00664919">
            <w:rPr>
              <w:rFonts w:ascii="Arial Narrow" w:hAnsi="Arial Narrow"/>
              <w:sz w:val="22"/>
              <w:szCs w:val="22"/>
            </w:rPr>
            <w:t>USA</w:t>
          </w:r>
        </w:smartTag>
      </w:smartTag>
      <w:r w:rsidRPr="00664919">
        <w:rPr>
          <w:rFonts w:ascii="Arial Narrow" w:hAnsi="Arial Narrow"/>
          <w:sz w:val="22"/>
          <w:szCs w:val="22"/>
        </w:rPr>
        <w:t xml:space="preserve">. </w:t>
      </w:r>
    </w:p>
    <w:p w:rsidR="00281670" w:rsidRPr="00664919" w:rsidRDefault="00281670" w:rsidP="00281670">
      <w:pPr>
        <w:pStyle w:val="ListParagraph"/>
        <w:ind w:left="360"/>
        <w:jc w:val="both"/>
        <w:rPr>
          <w:rFonts w:ascii="Arial Narrow" w:hAnsi="Arial Narrow"/>
          <w:sz w:val="22"/>
          <w:szCs w:val="22"/>
        </w:rPr>
      </w:pPr>
    </w:p>
    <w:p w:rsidR="00281670" w:rsidRPr="00664919" w:rsidRDefault="00281670" w:rsidP="00281670">
      <w:pPr>
        <w:pStyle w:val="ListParagraph"/>
        <w:ind w:left="360"/>
        <w:jc w:val="both"/>
        <w:rPr>
          <w:rFonts w:ascii="Arial Narrow" w:hAnsi="Arial Narrow"/>
          <w:sz w:val="22"/>
          <w:szCs w:val="22"/>
        </w:rPr>
      </w:pPr>
      <w:r w:rsidRPr="00664919">
        <w:rPr>
          <w:rFonts w:ascii="Arial Narrow" w:hAnsi="Arial Narrow"/>
          <w:sz w:val="22"/>
          <w:szCs w:val="22"/>
        </w:rPr>
        <w:t>Hardin, G. 1968. The tragedy of the commons. Science 168, 1243-8.</w:t>
      </w:r>
    </w:p>
    <w:p w:rsidR="00281670" w:rsidRPr="00664919" w:rsidRDefault="00281670" w:rsidP="00281670">
      <w:pPr>
        <w:pStyle w:val="ListParagraph"/>
        <w:ind w:left="360"/>
        <w:jc w:val="both"/>
        <w:rPr>
          <w:rFonts w:ascii="Arial Narrow" w:hAnsi="Arial Narrow"/>
          <w:sz w:val="22"/>
          <w:szCs w:val="22"/>
        </w:rPr>
      </w:pPr>
      <w:r w:rsidRPr="00664919">
        <w:rPr>
          <w:rFonts w:ascii="Arial Narrow" w:hAnsi="Arial Narrow"/>
          <w:sz w:val="22"/>
          <w:szCs w:val="22"/>
        </w:rPr>
        <w:t xml:space="preserve">Olson, M. 1965. The logic of collective action . </w:t>
      </w:r>
      <w:smartTag w:uri="urn:schemas-microsoft-com:office:smarttags" w:element="PlaceName">
        <w:r w:rsidRPr="00664919">
          <w:rPr>
            <w:rFonts w:ascii="Arial Narrow" w:hAnsi="Arial Narrow"/>
            <w:sz w:val="22"/>
            <w:szCs w:val="22"/>
          </w:rPr>
          <w:t>Harvard</w:t>
        </w:r>
      </w:smartTag>
      <w:smartTag w:uri="urn:schemas-microsoft-com:office:smarttags" w:element="PlaceType">
        <w:r w:rsidRPr="00664919">
          <w:rPr>
            <w:rFonts w:ascii="Arial Narrow" w:hAnsi="Arial Narrow"/>
            <w:sz w:val="22"/>
            <w:szCs w:val="22"/>
          </w:rPr>
          <w:t>University</w:t>
        </w:r>
      </w:smartTag>
      <w:r w:rsidRPr="00664919">
        <w:rPr>
          <w:rFonts w:ascii="Arial Narrow" w:hAnsi="Arial Narrow"/>
          <w:sz w:val="22"/>
          <w:szCs w:val="22"/>
        </w:rPr>
        <w:t xml:space="preserve"> Press, </w:t>
      </w:r>
      <w:smartTag w:uri="urn:schemas-microsoft-com:office:smarttags" w:element="place">
        <w:smartTag w:uri="urn:schemas-microsoft-com:office:smarttags" w:element="City">
          <w:r w:rsidRPr="00664919">
            <w:rPr>
              <w:rFonts w:ascii="Arial Narrow" w:hAnsi="Arial Narrow"/>
              <w:sz w:val="22"/>
              <w:szCs w:val="22"/>
            </w:rPr>
            <w:t>Cambridge</w:t>
          </w:r>
        </w:smartTag>
        <w:r w:rsidRPr="00664919">
          <w:rPr>
            <w:rFonts w:ascii="Arial Narrow" w:hAnsi="Arial Narrow"/>
            <w:sz w:val="22"/>
            <w:szCs w:val="22"/>
          </w:rPr>
          <w:t xml:space="preserve">, </w:t>
        </w:r>
        <w:smartTag w:uri="urn:schemas-microsoft-com:office:smarttags" w:element="State">
          <w:r w:rsidRPr="00664919">
            <w:rPr>
              <w:rFonts w:ascii="Arial Narrow" w:hAnsi="Arial Narrow"/>
              <w:sz w:val="22"/>
              <w:szCs w:val="22"/>
            </w:rPr>
            <w:t>MA</w:t>
          </w:r>
        </w:smartTag>
        <w:r w:rsidRPr="00664919">
          <w:rPr>
            <w:rFonts w:ascii="Arial Narrow" w:hAnsi="Arial Narrow"/>
            <w:sz w:val="22"/>
            <w:szCs w:val="22"/>
          </w:rPr>
          <w:t xml:space="preserve">, </w:t>
        </w:r>
        <w:smartTag w:uri="urn:schemas-microsoft-com:office:smarttags" w:element="country-region">
          <w:r w:rsidRPr="00664919">
            <w:rPr>
              <w:rFonts w:ascii="Arial Narrow" w:hAnsi="Arial Narrow"/>
              <w:sz w:val="22"/>
              <w:szCs w:val="22"/>
            </w:rPr>
            <w:t>USA</w:t>
          </w:r>
        </w:smartTag>
      </w:smartTag>
      <w:r w:rsidRPr="00664919">
        <w:rPr>
          <w:rFonts w:ascii="Arial Narrow" w:hAnsi="Arial Narrow"/>
          <w:sz w:val="22"/>
          <w:szCs w:val="22"/>
        </w:rPr>
        <w:t>.</w:t>
      </w:r>
    </w:p>
    <w:p w:rsidR="00281670" w:rsidRPr="00664919" w:rsidRDefault="00281670" w:rsidP="00281670">
      <w:pPr>
        <w:pStyle w:val="ListParagraph"/>
        <w:ind w:left="360"/>
        <w:jc w:val="both"/>
        <w:rPr>
          <w:rFonts w:ascii="Arial Narrow" w:hAnsi="Arial Narrow"/>
          <w:b/>
          <w:sz w:val="22"/>
          <w:szCs w:val="22"/>
        </w:rPr>
      </w:pPr>
    </w:p>
    <w:p w:rsidR="00281670" w:rsidRPr="00664919" w:rsidRDefault="00281670" w:rsidP="00281670">
      <w:pPr>
        <w:pStyle w:val="ListParagraph"/>
        <w:ind w:left="360"/>
        <w:jc w:val="both"/>
        <w:rPr>
          <w:rFonts w:ascii="Arial Narrow" w:hAnsi="Arial Narrow"/>
          <w:b/>
          <w:sz w:val="22"/>
          <w:szCs w:val="22"/>
        </w:rPr>
      </w:pPr>
    </w:p>
    <w:p w:rsidR="00281670" w:rsidRPr="00664919" w:rsidRDefault="00281670" w:rsidP="00281670">
      <w:pPr>
        <w:pStyle w:val="ListParagraph"/>
        <w:ind w:left="360"/>
        <w:jc w:val="both"/>
        <w:rPr>
          <w:rFonts w:ascii="Arial Narrow" w:hAnsi="Arial Narrow"/>
          <w:b/>
          <w:sz w:val="22"/>
          <w:szCs w:val="22"/>
        </w:rPr>
      </w:pPr>
      <w:r w:rsidRPr="00664919">
        <w:rPr>
          <w:rFonts w:ascii="Arial Narrow" w:hAnsi="Arial Narrow"/>
          <w:b/>
          <w:sz w:val="22"/>
          <w:szCs w:val="22"/>
        </w:rPr>
        <w:t>COURSE CONTENT, METHODS OF INSTRUCTION, TOOLS AND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7"/>
        <w:gridCol w:w="7"/>
        <w:gridCol w:w="13"/>
        <w:gridCol w:w="2507"/>
        <w:gridCol w:w="16"/>
        <w:gridCol w:w="2394"/>
        <w:gridCol w:w="2194"/>
      </w:tblGrid>
      <w:tr w:rsidR="00281670" w:rsidRPr="00B67B91" w:rsidTr="0006104D">
        <w:tc>
          <w:tcPr>
            <w:tcW w:w="2572" w:type="dxa"/>
            <w:gridSpan w:val="4"/>
          </w:tcPr>
          <w:p w:rsidR="00281670" w:rsidRPr="00B67B91" w:rsidRDefault="00281670" w:rsidP="0006104D">
            <w:pPr>
              <w:rPr>
                <w:rFonts w:ascii="Arial Narrow" w:hAnsi="Arial Narrow"/>
                <w:b/>
                <w:bCs/>
                <w:color w:val="000000"/>
              </w:rPr>
            </w:pPr>
            <w:r w:rsidRPr="00B67B91">
              <w:rPr>
                <w:rFonts w:ascii="Arial Narrow" w:hAnsi="Arial Narrow"/>
                <w:b/>
                <w:bCs/>
                <w:color w:val="000000"/>
                <w:sz w:val="22"/>
                <w:szCs w:val="22"/>
              </w:rPr>
              <w:t>TOPIC</w:t>
            </w:r>
          </w:p>
        </w:tc>
        <w:tc>
          <w:tcPr>
            <w:tcW w:w="2534" w:type="dxa"/>
            <w:gridSpan w:val="2"/>
          </w:tcPr>
          <w:p w:rsidR="00281670" w:rsidRPr="00B67B91" w:rsidRDefault="00281670" w:rsidP="0006104D">
            <w:pPr>
              <w:rPr>
                <w:rFonts w:ascii="Arial Narrow" w:hAnsi="Arial Narrow"/>
                <w:b/>
                <w:bCs/>
                <w:color w:val="000000"/>
              </w:rPr>
            </w:pPr>
            <w:r w:rsidRPr="00B67B91">
              <w:rPr>
                <w:rFonts w:ascii="Arial Narrow" w:hAnsi="Arial Narrow"/>
                <w:b/>
                <w:bCs/>
                <w:color w:val="000000"/>
                <w:sz w:val="22"/>
                <w:szCs w:val="22"/>
              </w:rPr>
              <w:t>CONTENT</w:t>
            </w:r>
          </w:p>
        </w:tc>
        <w:tc>
          <w:tcPr>
            <w:tcW w:w="2542" w:type="dxa"/>
          </w:tcPr>
          <w:p w:rsidR="00281670" w:rsidRPr="00B67B91" w:rsidRDefault="00281670" w:rsidP="0006104D">
            <w:pPr>
              <w:rPr>
                <w:rFonts w:ascii="Arial Narrow" w:hAnsi="Arial Narrow"/>
                <w:b/>
                <w:bCs/>
                <w:color w:val="000000"/>
              </w:rPr>
            </w:pPr>
            <w:r w:rsidRPr="00B67B91">
              <w:rPr>
                <w:rFonts w:ascii="Arial Narrow" w:hAnsi="Arial Narrow"/>
                <w:b/>
                <w:bCs/>
                <w:color w:val="000000"/>
                <w:sz w:val="22"/>
                <w:szCs w:val="22"/>
              </w:rPr>
              <w:t>METHOD OF INSTRUCTION/Time allocated</w:t>
            </w:r>
          </w:p>
        </w:tc>
        <w:tc>
          <w:tcPr>
            <w:tcW w:w="2504" w:type="dxa"/>
          </w:tcPr>
          <w:p w:rsidR="00281670" w:rsidRPr="00B67B91" w:rsidRDefault="00281670" w:rsidP="0006104D">
            <w:pPr>
              <w:rPr>
                <w:rFonts w:ascii="Arial Narrow" w:hAnsi="Arial Narrow"/>
                <w:b/>
                <w:bCs/>
                <w:color w:val="000000"/>
              </w:rPr>
            </w:pPr>
            <w:r w:rsidRPr="00B67B91">
              <w:rPr>
                <w:rFonts w:ascii="Arial Narrow" w:hAnsi="Arial Narrow"/>
                <w:b/>
                <w:bCs/>
                <w:color w:val="000000"/>
                <w:sz w:val="22"/>
                <w:szCs w:val="22"/>
              </w:rPr>
              <w:t>TOOLS NEEDED</w:t>
            </w:r>
          </w:p>
        </w:tc>
      </w:tr>
      <w:tr w:rsidR="00281670" w:rsidRPr="00B67B91" w:rsidTr="0006104D">
        <w:tc>
          <w:tcPr>
            <w:tcW w:w="2572" w:type="dxa"/>
            <w:gridSpan w:val="4"/>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1.Introduction/Rationale for study of common property regimes and common pool resources</w:t>
            </w:r>
          </w:p>
        </w:tc>
        <w:tc>
          <w:tcPr>
            <w:tcW w:w="2534" w:type="dxa"/>
            <w:gridSpan w:val="2"/>
          </w:tcPr>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-Definition of terms</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-Interest in common pool resources and their management</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-Common pool resources</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-Property rights</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lastRenderedPageBreak/>
              <w:t>-Types of goods</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 xml:space="preserve">-Advantages of managing resources under common pool regimes </w:t>
            </w:r>
          </w:p>
        </w:tc>
        <w:tc>
          <w:tcPr>
            <w:tcW w:w="2542" w:type="dxa"/>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lastRenderedPageBreak/>
              <w:t>Lectures (2hr)</w:t>
            </w:r>
          </w:p>
        </w:tc>
        <w:tc>
          <w:tcPr>
            <w:tcW w:w="2504" w:type="dxa"/>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Chalkboard and chalk</w:t>
            </w:r>
          </w:p>
        </w:tc>
      </w:tr>
      <w:tr w:rsidR="00281670" w:rsidRPr="00B67B91" w:rsidTr="0006104D">
        <w:tc>
          <w:tcPr>
            <w:tcW w:w="2572" w:type="dxa"/>
            <w:gridSpan w:val="4"/>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lastRenderedPageBreak/>
              <w:t xml:space="preserve">2.Conceptual framework for common property management </w:t>
            </w:r>
          </w:p>
        </w:tc>
        <w:tc>
          <w:tcPr>
            <w:tcW w:w="2534" w:type="dxa"/>
            <w:gridSpan w:val="2"/>
          </w:tcPr>
          <w:p w:rsidR="00281670" w:rsidRPr="00B67B91" w:rsidRDefault="00281670" w:rsidP="00281670">
            <w:pPr>
              <w:numPr>
                <w:ilvl w:val="0"/>
                <w:numId w:val="1"/>
              </w:numPr>
              <w:jc w:val="both"/>
              <w:rPr>
                <w:rFonts w:ascii="Arial Narrow" w:hAnsi="Arial Narrow"/>
                <w:color w:val="000000"/>
              </w:rPr>
            </w:pPr>
            <w:r w:rsidRPr="00B67B91">
              <w:rPr>
                <w:rFonts w:ascii="Arial Narrow" w:hAnsi="Arial Narrow"/>
                <w:color w:val="000000"/>
                <w:sz w:val="22"/>
                <w:szCs w:val="22"/>
              </w:rPr>
              <w:t>Characteristics of common pool resources management</w:t>
            </w:r>
          </w:p>
          <w:p w:rsidR="00281670" w:rsidRPr="00B67B91" w:rsidRDefault="00281670" w:rsidP="00281670">
            <w:pPr>
              <w:numPr>
                <w:ilvl w:val="0"/>
                <w:numId w:val="1"/>
              </w:numPr>
              <w:jc w:val="both"/>
              <w:rPr>
                <w:rFonts w:ascii="Arial Narrow" w:hAnsi="Arial Narrow"/>
                <w:color w:val="000000"/>
              </w:rPr>
            </w:pPr>
            <w:r w:rsidRPr="00B67B91">
              <w:rPr>
                <w:rFonts w:ascii="Arial Narrow" w:hAnsi="Arial Narrow"/>
                <w:color w:val="000000"/>
                <w:sz w:val="22"/>
                <w:szCs w:val="22"/>
              </w:rPr>
              <w:t>Analytical framework</w:t>
            </w:r>
          </w:p>
          <w:p w:rsidR="00281670" w:rsidRPr="00B67B91" w:rsidRDefault="00281670" w:rsidP="00281670">
            <w:pPr>
              <w:numPr>
                <w:ilvl w:val="0"/>
                <w:numId w:val="1"/>
              </w:numPr>
              <w:jc w:val="both"/>
              <w:rPr>
                <w:rFonts w:ascii="Arial Narrow" w:hAnsi="Arial Narrow"/>
                <w:color w:val="000000"/>
              </w:rPr>
            </w:pPr>
            <w:r w:rsidRPr="00B67B91">
              <w:rPr>
                <w:rFonts w:ascii="Arial Narrow" w:hAnsi="Arial Narrow"/>
                <w:color w:val="000000"/>
                <w:sz w:val="22"/>
                <w:szCs w:val="22"/>
              </w:rPr>
              <w:t>Rights and rules</w:t>
            </w:r>
          </w:p>
          <w:p w:rsidR="00281670" w:rsidRPr="00B67B91" w:rsidRDefault="00281670" w:rsidP="00281670">
            <w:pPr>
              <w:numPr>
                <w:ilvl w:val="0"/>
                <w:numId w:val="1"/>
              </w:numPr>
              <w:jc w:val="both"/>
              <w:rPr>
                <w:rFonts w:ascii="Arial Narrow" w:hAnsi="Arial Narrow"/>
                <w:color w:val="000000"/>
              </w:rPr>
            </w:pPr>
            <w:r w:rsidRPr="00B67B91">
              <w:rPr>
                <w:rFonts w:ascii="Arial Narrow" w:hAnsi="Arial Narrow"/>
                <w:color w:val="000000"/>
                <w:sz w:val="22"/>
                <w:szCs w:val="22"/>
              </w:rPr>
              <w:t>Incentives associated with property rights</w:t>
            </w:r>
          </w:p>
        </w:tc>
        <w:tc>
          <w:tcPr>
            <w:tcW w:w="2542" w:type="dxa"/>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Lectures and (2 hr)</w:t>
            </w:r>
          </w:p>
        </w:tc>
        <w:tc>
          <w:tcPr>
            <w:tcW w:w="2504" w:type="dxa"/>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Chalkboard and chalk</w:t>
            </w:r>
          </w:p>
        </w:tc>
      </w:tr>
      <w:tr w:rsidR="00281670" w:rsidRPr="00B67B91" w:rsidTr="0006104D">
        <w:tc>
          <w:tcPr>
            <w:tcW w:w="2557" w:type="dxa"/>
            <w:gridSpan w:val="3"/>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 xml:space="preserve">3.Common Property and Natural Resource Management </w:t>
            </w:r>
          </w:p>
        </w:tc>
        <w:tc>
          <w:tcPr>
            <w:tcW w:w="2532" w:type="dxa"/>
            <w:gridSpan w:val="2"/>
          </w:tcPr>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-Examples of resources managed under common property regimes</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 xml:space="preserve">-Concept of common property </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-Tenure</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-Features of common property rights</w:t>
            </w:r>
          </w:p>
        </w:tc>
        <w:tc>
          <w:tcPr>
            <w:tcW w:w="2554" w:type="dxa"/>
            <w:gridSpan w:val="2"/>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Lectures  (2 hr)</w:t>
            </w:r>
          </w:p>
        </w:tc>
        <w:tc>
          <w:tcPr>
            <w:tcW w:w="2509" w:type="dxa"/>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Chalkboard and chalk</w:t>
            </w:r>
          </w:p>
        </w:tc>
      </w:tr>
      <w:tr w:rsidR="00281670" w:rsidRPr="00B67B91" w:rsidTr="0006104D">
        <w:tc>
          <w:tcPr>
            <w:tcW w:w="2557" w:type="dxa"/>
            <w:gridSpan w:val="3"/>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4.Collective action in common property regimes</w:t>
            </w:r>
          </w:p>
        </w:tc>
        <w:tc>
          <w:tcPr>
            <w:tcW w:w="2532" w:type="dxa"/>
            <w:gridSpan w:val="2"/>
          </w:tcPr>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-Collective action in common property and or natural resources management</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-Types of work</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 xml:space="preserve">-Types of action </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-Livelihoods and equity in common property regimes</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-Security of tenure in common property systems</w:t>
            </w:r>
          </w:p>
        </w:tc>
        <w:tc>
          <w:tcPr>
            <w:tcW w:w="2554" w:type="dxa"/>
            <w:gridSpan w:val="2"/>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Lectures  (2 hr)</w:t>
            </w:r>
          </w:p>
        </w:tc>
        <w:tc>
          <w:tcPr>
            <w:tcW w:w="2509" w:type="dxa"/>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Chalkboard and chalk</w:t>
            </w:r>
          </w:p>
        </w:tc>
      </w:tr>
      <w:tr w:rsidR="00281670" w:rsidRPr="00B67B91" w:rsidTr="0006104D">
        <w:tc>
          <w:tcPr>
            <w:tcW w:w="2550" w:type="dxa"/>
            <w:gridSpan w:val="2"/>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5. Access to Resources Held under Common Property Arrangements</w:t>
            </w:r>
          </w:p>
        </w:tc>
        <w:tc>
          <w:tcPr>
            <w:tcW w:w="2539" w:type="dxa"/>
            <w:gridSpan w:val="3"/>
          </w:tcPr>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-The state and access to the commons</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 Access to the commons via projects</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-Access to the commons via organized community actions</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-Sources of legitimacy and authorization for common property regimes</w:t>
            </w:r>
          </w:p>
        </w:tc>
        <w:tc>
          <w:tcPr>
            <w:tcW w:w="2554" w:type="dxa"/>
            <w:gridSpan w:val="2"/>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 xml:space="preserve"> Lectures (2hr)</w:t>
            </w:r>
          </w:p>
        </w:tc>
        <w:tc>
          <w:tcPr>
            <w:tcW w:w="2509" w:type="dxa"/>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Chalkboard and chalk</w:t>
            </w:r>
          </w:p>
        </w:tc>
      </w:tr>
      <w:tr w:rsidR="00281670" w:rsidRPr="00B67B91" w:rsidTr="0006104D">
        <w:tc>
          <w:tcPr>
            <w:tcW w:w="2550" w:type="dxa"/>
            <w:gridSpan w:val="2"/>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6.Behavioral theories in common property regimes</w:t>
            </w:r>
          </w:p>
        </w:tc>
        <w:tc>
          <w:tcPr>
            <w:tcW w:w="2539" w:type="dxa"/>
            <w:gridSpan w:val="3"/>
          </w:tcPr>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-Game theory</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-Prisoners dilemma</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 xml:space="preserve">-Free riding </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-The tragedy of the commons</w:t>
            </w:r>
          </w:p>
        </w:tc>
        <w:tc>
          <w:tcPr>
            <w:tcW w:w="2554" w:type="dxa"/>
            <w:gridSpan w:val="2"/>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Lectures (2hr)</w:t>
            </w:r>
          </w:p>
        </w:tc>
        <w:tc>
          <w:tcPr>
            <w:tcW w:w="2509" w:type="dxa"/>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 Chalkboard and chalk</w:t>
            </w:r>
          </w:p>
        </w:tc>
      </w:tr>
      <w:tr w:rsidR="00281670" w:rsidRPr="00B67B91" w:rsidTr="0006104D">
        <w:tc>
          <w:tcPr>
            <w:tcW w:w="2543" w:type="dxa"/>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 xml:space="preserve">7.Natural Resource Management Situations and the likelihoods of </w:t>
            </w:r>
            <w:r w:rsidRPr="00B67B91">
              <w:rPr>
                <w:rFonts w:ascii="Arial Narrow" w:hAnsi="Arial Narrow"/>
                <w:color w:val="000000"/>
                <w:sz w:val="22"/>
                <w:szCs w:val="22"/>
              </w:rPr>
              <w:lastRenderedPageBreak/>
              <w:t xml:space="preserve">collective </w:t>
            </w:r>
          </w:p>
        </w:tc>
        <w:tc>
          <w:tcPr>
            <w:tcW w:w="2546" w:type="dxa"/>
            <w:gridSpan w:val="4"/>
          </w:tcPr>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lastRenderedPageBreak/>
              <w:t>-Heterogeneity of natural resource and natural resource users</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lastRenderedPageBreak/>
              <w:t>-Natural resource management and behavioral theories</w:t>
            </w:r>
          </w:p>
        </w:tc>
        <w:tc>
          <w:tcPr>
            <w:tcW w:w="2554" w:type="dxa"/>
            <w:gridSpan w:val="2"/>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lastRenderedPageBreak/>
              <w:t xml:space="preserve">Lectures (1 hr) </w:t>
            </w:r>
          </w:p>
        </w:tc>
        <w:tc>
          <w:tcPr>
            <w:tcW w:w="2509" w:type="dxa"/>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 xml:space="preserve">Chalkboard, chalk </w:t>
            </w:r>
          </w:p>
        </w:tc>
      </w:tr>
      <w:tr w:rsidR="00281670" w:rsidRPr="00B67B91" w:rsidTr="0006104D">
        <w:tc>
          <w:tcPr>
            <w:tcW w:w="2543" w:type="dxa"/>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lastRenderedPageBreak/>
              <w:t>8.Design criteria that make common property systems robust</w:t>
            </w:r>
          </w:p>
        </w:tc>
        <w:tc>
          <w:tcPr>
            <w:tcW w:w="2546" w:type="dxa"/>
            <w:gridSpan w:val="4"/>
          </w:tcPr>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-Features internal to the common property regimes and its community of co-owning resource users</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 xml:space="preserve">-Features external to the common property regimes and its co-owning resource users. </w:t>
            </w:r>
          </w:p>
        </w:tc>
        <w:tc>
          <w:tcPr>
            <w:tcW w:w="2554" w:type="dxa"/>
            <w:gridSpan w:val="2"/>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Lectures (2 hr)</w:t>
            </w:r>
          </w:p>
        </w:tc>
        <w:tc>
          <w:tcPr>
            <w:tcW w:w="2509" w:type="dxa"/>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Chalkboard and chalk</w:t>
            </w:r>
          </w:p>
        </w:tc>
      </w:tr>
      <w:tr w:rsidR="00281670" w:rsidRPr="00B67B91" w:rsidTr="0006104D">
        <w:tc>
          <w:tcPr>
            <w:tcW w:w="2543" w:type="dxa"/>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 xml:space="preserve">Field study </w:t>
            </w:r>
          </w:p>
          <w:p w:rsidR="00281670" w:rsidRPr="00B67B91" w:rsidRDefault="00281670" w:rsidP="0006104D">
            <w:pPr>
              <w:rPr>
                <w:rFonts w:ascii="Arial Narrow" w:hAnsi="Arial Narrow"/>
                <w:color w:val="000000"/>
              </w:rPr>
            </w:pPr>
            <w:r w:rsidRPr="00B67B91">
              <w:rPr>
                <w:rFonts w:ascii="Arial Narrow" w:hAnsi="Arial Narrow"/>
                <w:color w:val="000000"/>
                <w:sz w:val="22"/>
                <w:szCs w:val="22"/>
              </w:rPr>
              <w:t>Case studies</w:t>
            </w:r>
          </w:p>
          <w:p w:rsidR="00281670" w:rsidRPr="00B67B91" w:rsidRDefault="00281670" w:rsidP="0006104D">
            <w:pPr>
              <w:rPr>
                <w:rFonts w:ascii="Arial Narrow" w:hAnsi="Arial Narrow"/>
                <w:color w:val="000000"/>
              </w:rPr>
            </w:pPr>
            <w:r w:rsidRPr="00B67B91">
              <w:rPr>
                <w:rFonts w:ascii="Arial Narrow" w:hAnsi="Arial Narrow"/>
                <w:color w:val="000000"/>
                <w:sz w:val="22"/>
                <w:szCs w:val="22"/>
              </w:rPr>
              <w:t>Seminars</w:t>
            </w:r>
          </w:p>
        </w:tc>
        <w:tc>
          <w:tcPr>
            <w:tcW w:w="2541" w:type="dxa"/>
            <w:gridSpan w:val="4"/>
          </w:tcPr>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Field visits</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Articles/Books</w:t>
            </w:r>
          </w:p>
          <w:p w:rsidR="00281670" w:rsidRPr="00B67B91" w:rsidRDefault="00281670" w:rsidP="0006104D">
            <w:pPr>
              <w:jc w:val="both"/>
              <w:rPr>
                <w:rFonts w:ascii="Arial Narrow" w:hAnsi="Arial Narrow"/>
                <w:color w:val="000000"/>
              </w:rPr>
            </w:pPr>
            <w:r w:rsidRPr="00B67B91">
              <w:rPr>
                <w:rFonts w:ascii="Arial Narrow" w:hAnsi="Arial Narrow"/>
                <w:color w:val="000000"/>
                <w:sz w:val="22"/>
                <w:szCs w:val="22"/>
              </w:rPr>
              <w:t>Presentations on different case studies</w:t>
            </w:r>
          </w:p>
        </w:tc>
        <w:tc>
          <w:tcPr>
            <w:tcW w:w="2559" w:type="dxa"/>
            <w:gridSpan w:val="2"/>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 xml:space="preserve">Tutorials </w:t>
            </w:r>
          </w:p>
          <w:p w:rsidR="00281670" w:rsidRPr="00B67B91" w:rsidRDefault="00281670" w:rsidP="0006104D">
            <w:pPr>
              <w:rPr>
                <w:rFonts w:ascii="Arial Narrow" w:hAnsi="Arial Narrow"/>
                <w:color w:val="000000"/>
              </w:rPr>
            </w:pPr>
            <w:r w:rsidRPr="00B67B91">
              <w:rPr>
                <w:rFonts w:ascii="Arial Narrow" w:hAnsi="Arial Narrow"/>
                <w:color w:val="000000"/>
                <w:sz w:val="22"/>
                <w:szCs w:val="22"/>
              </w:rPr>
              <w:t>Student centered presentations</w:t>
            </w:r>
          </w:p>
          <w:p w:rsidR="00281670" w:rsidRPr="00B67B91" w:rsidRDefault="00281670" w:rsidP="0006104D">
            <w:pPr>
              <w:rPr>
                <w:rFonts w:ascii="Arial Narrow" w:hAnsi="Arial Narrow"/>
                <w:color w:val="000000"/>
              </w:rPr>
            </w:pPr>
            <w:r w:rsidRPr="00B67B91">
              <w:rPr>
                <w:rFonts w:ascii="Arial Narrow" w:hAnsi="Arial Narrow"/>
                <w:color w:val="000000"/>
                <w:sz w:val="22"/>
                <w:szCs w:val="22"/>
              </w:rPr>
              <w:t>4 lecture hours</w:t>
            </w:r>
          </w:p>
          <w:p w:rsidR="00281670" w:rsidRPr="00B67B91" w:rsidRDefault="00281670" w:rsidP="0006104D">
            <w:pPr>
              <w:rPr>
                <w:rFonts w:ascii="Arial Narrow" w:hAnsi="Arial Narrow"/>
                <w:color w:val="000000"/>
              </w:rPr>
            </w:pPr>
            <w:r w:rsidRPr="00B67B91">
              <w:rPr>
                <w:rFonts w:ascii="Arial Narrow" w:hAnsi="Arial Narrow"/>
                <w:color w:val="000000"/>
                <w:sz w:val="22"/>
                <w:szCs w:val="22"/>
              </w:rPr>
              <w:t xml:space="preserve">15 hrs Practical </w:t>
            </w:r>
          </w:p>
        </w:tc>
        <w:tc>
          <w:tcPr>
            <w:tcW w:w="2509" w:type="dxa"/>
          </w:tcPr>
          <w:p w:rsidR="00281670" w:rsidRPr="00B67B91" w:rsidRDefault="00281670" w:rsidP="0006104D">
            <w:pPr>
              <w:rPr>
                <w:rFonts w:ascii="Arial Narrow" w:hAnsi="Arial Narrow"/>
                <w:color w:val="000000"/>
              </w:rPr>
            </w:pPr>
            <w:r w:rsidRPr="00B67B91">
              <w:rPr>
                <w:rFonts w:ascii="Arial Narrow" w:hAnsi="Arial Narrow"/>
                <w:color w:val="000000"/>
                <w:sz w:val="22"/>
                <w:szCs w:val="22"/>
              </w:rPr>
              <w:t>Transport, Reports, projectors, chalk and black board</w:t>
            </w:r>
          </w:p>
        </w:tc>
      </w:tr>
    </w:tbl>
    <w:p w:rsidR="00281670" w:rsidRPr="00664919" w:rsidRDefault="00281670" w:rsidP="00281670">
      <w:pPr>
        <w:pStyle w:val="ListParagraph"/>
        <w:ind w:left="360"/>
        <w:jc w:val="both"/>
        <w:rPr>
          <w:rFonts w:ascii="Arial Narrow" w:hAnsi="Arial Narrow"/>
          <w:sz w:val="22"/>
          <w:szCs w:val="22"/>
        </w:rPr>
      </w:pPr>
    </w:p>
    <w:p w:rsidR="00281670" w:rsidRPr="00664919" w:rsidRDefault="00281670" w:rsidP="00281670">
      <w:pPr>
        <w:pStyle w:val="ListParagraph"/>
        <w:ind w:left="360"/>
        <w:jc w:val="both"/>
        <w:rPr>
          <w:rFonts w:ascii="Arial Narrow" w:hAnsi="Arial Narrow"/>
          <w:sz w:val="22"/>
          <w:szCs w:val="22"/>
        </w:rPr>
      </w:pPr>
    </w:p>
    <w:p w:rsidR="00281670" w:rsidRPr="00664919" w:rsidRDefault="00281670" w:rsidP="00281670">
      <w:pPr>
        <w:pStyle w:val="ListParagraph"/>
        <w:ind w:left="360"/>
        <w:jc w:val="both"/>
        <w:rPr>
          <w:rFonts w:ascii="Arial Narrow" w:hAnsi="Arial Narrow"/>
          <w:b/>
          <w:sz w:val="22"/>
          <w:szCs w:val="22"/>
        </w:rPr>
      </w:pPr>
      <w:r w:rsidRPr="00664919">
        <w:rPr>
          <w:rFonts w:ascii="Arial Narrow" w:hAnsi="Arial Narrow"/>
          <w:b/>
          <w:sz w:val="22"/>
          <w:szCs w:val="22"/>
        </w:rPr>
        <w:t>SUMMARY OF TIME NEEDED</w:t>
      </w:r>
    </w:p>
    <w:p w:rsidR="00281670" w:rsidRPr="00664919" w:rsidRDefault="00281670" w:rsidP="00281670">
      <w:pPr>
        <w:pStyle w:val="ListParagraph"/>
        <w:rPr>
          <w:rFonts w:ascii="Arial Narrow" w:hAnsi="Arial Narrow"/>
          <w:sz w:val="22"/>
          <w:szCs w:val="22"/>
        </w:rPr>
      </w:pPr>
      <w:r w:rsidRPr="00664919">
        <w:rPr>
          <w:rFonts w:ascii="Arial Narrow" w:hAnsi="Arial Narrow"/>
          <w:sz w:val="22"/>
          <w:szCs w:val="22"/>
        </w:rPr>
        <w:t xml:space="preserve">Lectures covering theory 30 hours </w:t>
      </w:r>
    </w:p>
    <w:p w:rsidR="00281670" w:rsidRPr="00664919" w:rsidRDefault="00281670" w:rsidP="00281670">
      <w:pPr>
        <w:pStyle w:val="ListParagraph"/>
        <w:rPr>
          <w:rFonts w:ascii="Arial Narrow" w:hAnsi="Arial Narrow"/>
          <w:sz w:val="22"/>
          <w:szCs w:val="22"/>
        </w:rPr>
      </w:pPr>
      <w:r w:rsidRPr="00664919">
        <w:rPr>
          <w:rFonts w:ascii="Arial Narrow" w:hAnsi="Arial Narrow"/>
          <w:sz w:val="22"/>
          <w:szCs w:val="22"/>
        </w:rPr>
        <w:t>Field based practical 15 hours</w:t>
      </w:r>
    </w:p>
    <w:p w:rsidR="00281670" w:rsidRPr="00664919" w:rsidRDefault="00281670" w:rsidP="00281670">
      <w:pPr>
        <w:pStyle w:val="ListParagraph"/>
        <w:rPr>
          <w:rFonts w:ascii="Arial Narrow" w:hAnsi="Arial Narrow"/>
          <w:sz w:val="22"/>
          <w:szCs w:val="22"/>
        </w:rPr>
      </w:pPr>
      <w:r w:rsidRPr="00664919">
        <w:rPr>
          <w:rFonts w:ascii="Arial Narrow" w:hAnsi="Arial Narrow"/>
          <w:sz w:val="22"/>
          <w:szCs w:val="22"/>
        </w:rPr>
        <w:t xml:space="preserve">Course evaluation 3 hours </w:t>
      </w:r>
    </w:p>
    <w:p w:rsidR="00281670" w:rsidRPr="00664919" w:rsidRDefault="00281670" w:rsidP="00281670">
      <w:pPr>
        <w:pStyle w:val="ListParagraph"/>
        <w:rPr>
          <w:rFonts w:ascii="Arial Narrow" w:hAnsi="Arial Narrow"/>
          <w:sz w:val="22"/>
          <w:szCs w:val="22"/>
        </w:rPr>
      </w:pPr>
    </w:p>
    <w:p w:rsidR="00281670" w:rsidRPr="00664919" w:rsidRDefault="00281670" w:rsidP="00281670">
      <w:pPr>
        <w:pStyle w:val="ListParagraph"/>
        <w:rPr>
          <w:rFonts w:ascii="Arial Narrow" w:hAnsi="Arial Narrow"/>
          <w:b/>
          <w:sz w:val="22"/>
          <w:szCs w:val="22"/>
        </w:rPr>
      </w:pPr>
      <w:r w:rsidRPr="00664919">
        <w:rPr>
          <w:rFonts w:ascii="Arial Narrow" w:hAnsi="Arial Narrow"/>
          <w:b/>
          <w:sz w:val="22"/>
          <w:szCs w:val="22"/>
        </w:rPr>
        <w:t xml:space="preserve">Overall Course evaluation </w:t>
      </w:r>
    </w:p>
    <w:p w:rsidR="00281670" w:rsidRPr="00664919" w:rsidRDefault="00281670" w:rsidP="00281670">
      <w:pPr>
        <w:pStyle w:val="ListParagraph"/>
        <w:rPr>
          <w:rFonts w:ascii="Arial Narrow" w:hAnsi="Arial Narrow"/>
          <w:sz w:val="22"/>
          <w:szCs w:val="22"/>
        </w:rPr>
      </w:pPr>
      <w:r w:rsidRPr="00664919">
        <w:rPr>
          <w:rFonts w:ascii="Arial Narrow" w:hAnsi="Arial Narrow"/>
          <w:sz w:val="22"/>
          <w:szCs w:val="22"/>
        </w:rPr>
        <w:t>Continuous assessment 20%</w:t>
      </w:r>
    </w:p>
    <w:p w:rsidR="00281670" w:rsidRPr="00664919" w:rsidRDefault="00281670" w:rsidP="00281670">
      <w:pPr>
        <w:pStyle w:val="ListParagraph"/>
        <w:rPr>
          <w:rFonts w:ascii="Arial Narrow" w:hAnsi="Arial Narrow"/>
          <w:sz w:val="22"/>
          <w:szCs w:val="22"/>
        </w:rPr>
      </w:pPr>
      <w:r w:rsidRPr="00664919">
        <w:rPr>
          <w:rFonts w:ascii="Arial Narrow" w:hAnsi="Arial Narrow"/>
          <w:sz w:val="22"/>
          <w:szCs w:val="22"/>
        </w:rPr>
        <w:t>Field based practical     20%</w:t>
      </w:r>
    </w:p>
    <w:p w:rsidR="001C3396" w:rsidRDefault="001C3396">
      <w:bookmarkStart w:id="0" w:name="_GoBack"/>
      <w:bookmarkEnd w:id="0"/>
    </w:p>
    <w:sectPr w:rsidR="001C3396" w:rsidSect="007669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13C3"/>
    <w:multiLevelType w:val="hybridMultilevel"/>
    <w:tmpl w:val="BE905524"/>
    <w:lvl w:ilvl="0" w:tplc="28989D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1670"/>
    <w:rsid w:val="00050608"/>
    <w:rsid w:val="00161BAB"/>
    <w:rsid w:val="001668D8"/>
    <w:rsid w:val="001C3396"/>
    <w:rsid w:val="001F160E"/>
    <w:rsid w:val="001F2F3E"/>
    <w:rsid w:val="00275EBF"/>
    <w:rsid w:val="00281670"/>
    <w:rsid w:val="00563212"/>
    <w:rsid w:val="00613CA4"/>
    <w:rsid w:val="00745640"/>
    <w:rsid w:val="00766979"/>
    <w:rsid w:val="00822069"/>
    <w:rsid w:val="00867664"/>
    <w:rsid w:val="008F7FC7"/>
    <w:rsid w:val="00970755"/>
    <w:rsid w:val="00A21D65"/>
    <w:rsid w:val="00A32CE0"/>
    <w:rsid w:val="00BB434B"/>
    <w:rsid w:val="00BF0D71"/>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1670"/>
    <w:pPr>
      <w:ind w:left="720"/>
    </w:pPr>
    <w:rPr>
      <w:rFonts w:eastAsia="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1670"/>
    <w:pPr>
      <w:ind w:left="720"/>
    </w:pPr>
    <w:rPr>
      <w:rFonts w:eastAsia="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3864</Characters>
  <Application>Microsoft Office Word</Application>
  <DocSecurity>0</DocSecurity>
  <Lines>32</Lines>
  <Paragraphs>9</Paragraphs>
  <ScaleCrop>false</ScaleCrop>
  <Company>Microsoft</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2011-07-19T18:38:00Z</dcterms:created>
  <dcterms:modified xsi:type="dcterms:W3CDTF">2014-06-27T22:42:00Z</dcterms:modified>
</cp:coreProperties>
</file>