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02" w:rsidRPr="00CF3B1A" w:rsidRDefault="00070102" w:rsidP="00070102">
      <w:pPr>
        <w:pStyle w:val="Heading1"/>
        <w:rPr>
          <w:rFonts w:ascii="Tahoma" w:hAnsi="Tahoma" w:cs="Tahoma"/>
          <w:color w:val="auto"/>
          <w:sz w:val="24"/>
          <w:szCs w:val="24"/>
          <w:u w:val="single"/>
        </w:rPr>
      </w:pPr>
      <w:bookmarkStart w:id="0" w:name="_Toc265498971"/>
      <w:bookmarkStart w:id="1" w:name="_Toc265499355"/>
      <w:bookmarkStart w:id="2" w:name="_Toc262049146"/>
      <w:bookmarkStart w:id="3" w:name="_Toc263175606"/>
      <w:bookmarkStart w:id="4" w:name="_Toc266176274"/>
      <w:bookmarkStart w:id="5" w:name="_Toc267564928"/>
      <w:bookmarkStart w:id="6" w:name="_Toc270352343"/>
      <w:bookmarkStart w:id="7" w:name="_Toc271020538"/>
      <w:bookmarkStart w:id="8" w:name="_Toc273192404"/>
      <w:bookmarkStart w:id="9" w:name="_Toc276551674"/>
      <w:bookmarkStart w:id="10" w:name="_Toc276551932"/>
      <w:bookmarkStart w:id="11" w:name="_Toc276557812"/>
      <w:bookmarkStart w:id="12" w:name="_Toc279417889"/>
      <w:bookmarkStart w:id="13" w:name="_Toc279484152"/>
      <w:bookmarkStart w:id="14" w:name="_Toc279484588"/>
      <w:r>
        <w:rPr>
          <w:rFonts w:ascii="Tahoma" w:hAnsi="Tahoma" w:cs="Tahoma"/>
          <w:color w:val="auto"/>
          <w:sz w:val="24"/>
          <w:szCs w:val="24"/>
          <w:u w:val="single"/>
        </w:rPr>
        <w:t>T</w:t>
      </w:r>
      <w:r w:rsidRPr="00534D57">
        <w:rPr>
          <w:rFonts w:ascii="Tahoma" w:hAnsi="Tahoma" w:cs="Tahoma"/>
          <w:color w:val="auto"/>
          <w:sz w:val="24"/>
          <w:szCs w:val="24"/>
          <w:u w:val="single"/>
        </w:rPr>
        <w:t>ID 8102</w:t>
      </w:r>
      <w:r w:rsidRPr="00534D57">
        <w:rPr>
          <w:rFonts w:ascii="Tahoma" w:hAnsi="Tahoma" w:cs="Tahoma"/>
          <w:color w:val="auto"/>
          <w:sz w:val="24"/>
          <w:szCs w:val="24"/>
          <w:u w:val="single"/>
        </w:rPr>
        <w:tab/>
        <w:t>Safety, Health and Environment Management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70102" w:rsidRPr="00CF3B1A" w:rsidRDefault="00070102" w:rsidP="00070102">
      <w:pPr>
        <w:pStyle w:val="Heading2"/>
        <w:rPr>
          <w:rFonts w:ascii="Tahoma" w:hAnsi="Tahoma" w:cs="Tahoma"/>
          <w:color w:val="auto"/>
          <w:sz w:val="24"/>
          <w:szCs w:val="24"/>
        </w:rPr>
      </w:pPr>
      <w:bookmarkStart w:id="15" w:name="_Toc265498972"/>
      <w:bookmarkStart w:id="16" w:name="_Toc265499356"/>
      <w:bookmarkStart w:id="17" w:name="_Toc266176275"/>
      <w:bookmarkStart w:id="18" w:name="_Toc267564929"/>
      <w:bookmarkStart w:id="19" w:name="_Toc270352344"/>
      <w:bookmarkStart w:id="20" w:name="_Toc271020539"/>
      <w:bookmarkStart w:id="21" w:name="_Toc273192405"/>
      <w:bookmarkStart w:id="22" w:name="_Toc276551675"/>
      <w:bookmarkStart w:id="23" w:name="_Toc276551933"/>
      <w:bookmarkStart w:id="24" w:name="_Toc276557813"/>
      <w:bookmarkStart w:id="25" w:name="_Toc279417890"/>
      <w:bookmarkStart w:id="26" w:name="_Toc279484153"/>
      <w:bookmarkStart w:id="27" w:name="_Toc279484589"/>
      <w:r w:rsidRPr="00CF3B1A">
        <w:rPr>
          <w:rFonts w:ascii="Tahoma" w:hAnsi="Tahoma" w:cs="Tahoma"/>
          <w:color w:val="auto"/>
          <w:sz w:val="24"/>
          <w:szCs w:val="24"/>
        </w:rPr>
        <w:t>Course Description</w:t>
      </w:r>
      <w:bookmarkEnd w:id="15"/>
      <w:bookmarkEnd w:id="16"/>
      <w:bookmarkEnd w:id="17"/>
      <w:bookmarkEnd w:id="18"/>
      <w:bookmarkEnd w:id="19"/>
      <w:bookmarkEnd w:id="20"/>
      <w:bookmarkEnd w:id="21"/>
      <w:bookmarkEnd w:id="22"/>
      <w:bookmarkEnd w:id="23"/>
      <w:bookmarkEnd w:id="24"/>
      <w:bookmarkEnd w:id="25"/>
      <w:bookmarkEnd w:id="26"/>
      <w:bookmarkEnd w:id="27"/>
    </w:p>
    <w:p w:rsidR="00070102" w:rsidRPr="00CF3B1A" w:rsidRDefault="00070102" w:rsidP="00070102">
      <w:r w:rsidRPr="00CF3B1A">
        <w:rPr>
          <w:rFonts w:eastAsia="Times New Roman"/>
        </w:rPr>
        <w:t xml:space="preserve">This multidisciplinary course provides specialized advanced training for graduates or occupational health and safety practitioners with an emphasis on risk and safety management and occupational injury, disease prevention and environmental protection. </w:t>
      </w:r>
      <w:r w:rsidRPr="00CF3B1A">
        <w:t>This course has an emphasis on practical and theoretical occupational health and safety (OHS) skills with a strong mix of science and technical practical and theoretical knowledge in the core discipline areas of risk management and accident prevention, ergonomics, occupational hygiene, health and safety economics and management, and compensation and injury management. There is an emphasis on industry based assessment and the development of practical skills.</w:t>
      </w:r>
    </w:p>
    <w:p w:rsidR="00070102" w:rsidRPr="00CF3B1A" w:rsidRDefault="00070102" w:rsidP="00070102">
      <w:pPr>
        <w:rPr>
          <w:b/>
        </w:rPr>
      </w:pPr>
    </w:p>
    <w:p w:rsidR="00070102" w:rsidRPr="00CF3B1A" w:rsidRDefault="00070102" w:rsidP="00070102">
      <w:pPr>
        <w:rPr>
          <w:b/>
        </w:rPr>
      </w:pPr>
      <w:r w:rsidRPr="00CF3B1A">
        <w:rPr>
          <w:b/>
        </w:rPr>
        <w:t>Course Objectives</w:t>
      </w:r>
    </w:p>
    <w:p w:rsidR="00070102" w:rsidRPr="00CF3B1A" w:rsidRDefault="00070102" w:rsidP="00070102">
      <w:r w:rsidRPr="00CF3B1A">
        <w:t>This unit covers legislative concepts underpinning contemporary occupational health and safety in occupational health and safety management systems by the application of key managerial principles, functions and skills within an organization. The unit also covers accident investigation, safety management plans and environment protection.</w:t>
      </w:r>
    </w:p>
    <w:p w:rsidR="00070102" w:rsidRPr="00CF3B1A" w:rsidRDefault="00070102" w:rsidP="00070102">
      <w:pPr>
        <w:rPr>
          <w:b/>
        </w:rPr>
      </w:pPr>
    </w:p>
    <w:p w:rsidR="00070102" w:rsidRPr="00CF3B1A" w:rsidRDefault="00070102" w:rsidP="00070102">
      <w:pPr>
        <w:rPr>
          <w:b/>
        </w:rPr>
      </w:pPr>
      <w:r w:rsidRPr="00CF3B1A">
        <w:rPr>
          <w:b/>
        </w:rPr>
        <w:t>Learning Objectives</w:t>
      </w:r>
    </w:p>
    <w:p w:rsidR="00070102" w:rsidRPr="00CF3B1A" w:rsidRDefault="00070102" w:rsidP="00070102">
      <w:pPr>
        <w:rPr>
          <w:b/>
        </w:rPr>
      </w:pPr>
      <w:r w:rsidRPr="00CF3B1A">
        <w:rPr>
          <w:rFonts w:eastAsia="Times New Roman"/>
        </w:rPr>
        <w:t>The course on Occupational Health, Safety and Environment prepares graduates for work in the preparation and implementation of occupational health and safety programs at the workplace. In many cases, students will be in positions of managerial or professional responsibility, through which they are required to develop policies and strategies in response to the occupational health and safety needs of their organizations.</w:t>
      </w:r>
    </w:p>
    <w:p w:rsidR="00070102" w:rsidRDefault="00070102" w:rsidP="00070102">
      <w:pPr>
        <w:shd w:val="clear" w:color="auto" w:fill="FFFFFF"/>
        <w:spacing w:before="100" w:beforeAutospacing="1" w:after="307" w:line="240" w:lineRule="auto"/>
        <w:rPr>
          <w:rFonts w:eastAsia="Times New Roman"/>
        </w:rPr>
      </w:pPr>
      <w:r w:rsidRPr="00CF3B1A">
        <w:rPr>
          <w:rFonts w:eastAsia="Times New Roman"/>
        </w:rPr>
        <w:t>As well as extending students' skills in raising awareness of occupational health and safety issues and dealing with risks and dangers in the workplace, the program also aims to encourage the desire to promote the health, safety and well-being of others and to help students develop a problem-solving approach to occupational health and safety issues.</w:t>
      </w:r>
    </w:p>
    <w:p w:rsidR="00070102" w:rsidRPr="004177DF" w:rsidRDefault="00070102" w:rsidP="00070102">
      <w:pPr>
        <w:rPr>
          <w:b/>
        </w:rPr>
      </w:pPr>
      <w:r w:rsidRPr="004177DF">
        <w:rPr>
          <w:b/>
        </w:rPr>
        <w:t>Methods of course delivery:</w:t>
      </w:r>
    </w:p>
    <w:p w:rsidR="00070102" w:rsidRDefault="00070102" w:rsidP="00070102">
      <w:pPr>
        <w:pStyle w:val="ListParagraph"/>
        <w:numPr>
          <w:ilvl w:val="0"/>
          <w:numId w:val="2"/>
        </w:numPr>
      </w:pPr>
      <w:r>
        <w:t>lectures and discussions</w:t>
      </w:r>
    </w:p>
    <w:p w:rsidR="00070102" w:rsidRDefault="00070102" w:rsidP="00070102">
      <w:pPr>
        <w:pStyle w:val="ListParagraph"/>
        <w:numPr>
          <w:ilvl w:val="0"/>
          <w:numId w:val="2"/>
        </w:numPr>
      </w:pPr>
      <w:r>
        <w:t>self study assignments</w:t>
      </w:r>
    </w:p>
    <w:p w:rsidR="00070102" w:rsidRPr="00C11F63" w:rsidRDefault="00070102" w:rsidP="00070102">
      <w:pPr>
        <w:pStyle w:val="ListParagraph"/>
        <w:numPr>
          <w:ilvl w:val="0"/>
          <w:numId w:val="2"/>
        </w:numPr>
      </w:pPr>
      <w:r>
        <w:t>case studies and group discussions</w:t>
      </w:r>
    </w:p>
    <w:p w:rsidR="00070102" w:rsidRPr="00CF3B1A" w:rsidRDefault="00070102" w:rsidP="00070102">
      <w:pPr>
        <w:shd w:val="clear" w:color="auto" w:fill="FFFFFF"/>
        <w:spacing w:before="100" w:beforeAutospacing="1" w:after="307" w:line="240" w:lineRule="auto"/>
        <w:rPr>
          <w:rFonts w:eastAsia="Times New Roman"/>
          <w:b/>
        </w:rPr>
      </w:pPr>
      <w:r w:rsidRPr="00CF3B1A">
        <w:rPr>
          <w:rFonts w:eastAsia="Times New Roman"/>
          <w:b/>
        </w:rPr>
        <w:t>Method of Assessment</w:t>
      </w:r>
    </w:p>
    <w:p w:rsidR="00070102" w:rsidRPr="00CF3B1A" w:rsidRDefault="00070102" w:rsidP="00070102">
      <w:pPr>
        <w:shd w:val="clear" w:color="auto" w:fill="FFFFFF"/>
        <w:spacing w:before="100" w:beforeAutospacing="1" w:after="307" w:line="240" w:lineRule="auto"/>
        <w:rPr>
          <w:rFonts w:eastAsia="Times New Roman"/>
        </w:rPr>
      </w:pPr>
      <w:r w:rsidRPr="00CF3B1A">
        <w:rPr>
          <w:rFonts w:eastAsia="Times New Roman"/>
        </w:rPr>
        <w:lastRenderedPageBreak/>
        <w:t xml:space="preserve">Class topics cover the basics of managing workplace health and safety. Students learn how to design, evaluate and implement programs that promote safer work environments. They are also taught how to handle emergency situations and, when possible, how to prevent them from occurring. </w:t>
      </w:r>
    </w:p>
    <w:p w:rsidR="00070102" w:rsidRPr="00CF3B1A" w:rsidRDefault="00070102" w:rsidP="00070102">
      <w:pPr>
        <w:pStyle w:val="Heading2"/>
        <w:shd w:val="clear" w:color="auto" w:fill="FFFFFF"/>
        <w:rPr>
          <w:rFonts w:ascii="Tahoma" w:hAnsi="Tahoma" w:cs="Tahoma"/>
          <w:color w:val="auto"/>
          <w:sz w:val="24"/>
          <w:szCs w:val="24"/>
        </w:rPr>
      </w:pPr>
      <w:bookmarkStart w:id="28" w:name="_Toc265498973"/>
      <w:bookmarkStart w:id="29" w:name="_Toc265499357"/>
      <w:bookmarkStart w:id="30" w:name="_Toc266176276"/>
      <w:bookmarkStart w:id="31" w:name="_Toc267564930"/>
      <w:bookmarkStart w:id="32" w:name="_Toc270352345"/>
      <w:bookmarkStart w:id="33" w:name="_Toc271020540"/>
      <w:bookmarkStart w:id="34" w:name="_Toc273192406"/>
      <w:bookmarkStart w:id="35" w:name="_Toc276551676"/>
      <w:bookmarkStart w:id="36" w:name="_Toc276551934"/>
      <w:bookmarkStart w:id="37" w:name="_Toc276557814"/>
      <w:bookmarkStart w:id="38" w:name="_Toc279417891"/>
      <w:bookmarkStart w:id="39" w:name="_Toc279484154"/>
      <w:bookmarkStart w:id="40" w:name="_Toc279484590"/>
      <w:r w:rsidRPr="00CF3B1A">
        <w:rPr>
          <w:rFonts w:ascii="Tahoma" w:hAnsi="Tahoma" w:cs="Tahoma"/>
          <w:color w:val="auto"/>
          <w:sz w:val="24"/>
          <w:szCs w:val="24"/>
        </w:rPr>
        <w:t>Course Content</w:t>
      </w:r>
      <w:bookmarkEnd w:id="28"/>
      <w:bookmarkEnd w:id="29"/>
      <w:bookmarkEnd w:id="30"/>
      <w:bookmarkEnd w:id="31"/>
      <w:bookmarkEnd w:id="32"/>
      <w:bookmarkEnd w:id="33"/>
      <w:bookmarkEnd w:id="34"/>
      <w:bookmarkEnd w:id="35"/>
      <w:bookmarkEnd w:id="36"/>
      <w:bookmarkEnd w:id="37"/>
      <w:bookmarkEnd w:id="38"/>
      <w:bookmarkEnd w:id="39"/>
      <w:bookmarkEnd w:id="40"/>
    </w:p>
    <w:p w:rsidR="00070102" w:rsidRPr="00CF3B1A" w:rsidRDefault="00070102" w:rsidP="00070102">
      <w:pPr>
        <w:pStyle w:val="Heading2"/>
        <w:shd w:val="clear" w:color="auto" w:fill="FFFFFF"/>
        <w:rPr>
          <w:rFonts w:ascii="Tahoma" w:hAnsi="Tahoma" w:cs="Tahoma"/>
          <w:b w:val="0"/>
          <w:color w:val="auto"/>
          <w:sz w:val="24"/>
          <w:szCs w:val="24"/>
        </w:rPr>
      </w:pPr>
      <w:bookmarkStart w:id="41" w:name="_Toc265498974"/>
      <w:bookmarkStart w:id="42" w:name="_Toc265499358"/>
      <w:bookmarkStart w:id="43" w:name="_Toc266176277"/>
      <w:bookmarkStart w:id="44" w:name="_Toc267564931"/>
      <w:bookmarkStart w:id="45" w:name="_Toc270352346"/>
      <w:bookmarkStart w:id="46" w:name="_Toc271020541"/>
      <w:bookmarkStart w:id="47" w:name="_Toc273192407"/>
      <w:bookmarkStart w:id="48" w:name="_Toc276551677"/>
      <w:bookmarkStart w:id="49" w:name="_Toc276551935"/>
      <w:bookmarkStart w:id="50" w:name="_Toc276557815"/>
      <w:bookmarkStart w:id="51" w:name="_Toc279417892"/>
      <w:bookmarkStart w:id="52" w:name="_Toc279484155"/>
      <w:bookmarkStart w:id="53" w:name="_Toc279484591"/>
      <w:r>
        <w:rPr>
          <w:rFonts w:ascii="Tahoma" w:hAnsi="Tahoma" w:cs="Tahoma"/>
          <w:b w:val="0"/>
          <w:color w:val="auto"/>
          <w:sz w:val="24"/>
          <w:szCs w:val="24"/>
        </w:rPr>
        <w:t xml:space="preserve">Examines health issues, </w:t>
      </w:r>
      <w:r w:rsidRPr="00CF3B1A">
        <w:rPr>
          <w:rFonts w:ascii="Tahoma" w:hAnsi="Tahoma" w:cs="Tahoma"/>
          <w:b w:val="0"/>
          <w:color w:val="auto"/>
          <w:sz w:val="24"/>
          <w:szCs w:val="24"/>
        </w:rPr>
        <w:t>scientific understanding of causes, and possible future approaches to control of the major environmental health problems in industrialized and developing countries</w:t>
      </w:r>
      <w:r>
        <w:rPr>
          <w:rFonts w:ascii="Tahoma" w:hAnsi="Tahoma" w:cs="Tahoma"/>
          <w:b w:val="0"/>
          <w:color w:val="auto"/>
          <w:sz w:val="24"/>
          <w:szCs w:val="24"/>
        </w:rPr>
        <w:t xml:space="preserve"> </w:t>
      </w:r>
      <w:r w:rsidRPr="000A393A">
        <w:rPr>
          <w:color w:val="auto"/>
        </w:rPr>
        <w:t>(</w:t>
      </w:r>
      <w:r>
        <w:rPr>
          <w:color w:val="auto"/>
        </w:rPr>
        <w:t>12</w:t>
      </w:r>
      <w:r w:rsidRPr="000A393A">
        <w:rPr>
          <w:color w:val="auto"/>
        </w:rPr>
        <w:t xml:space="preserve"> hours)</w:t>
      </w:r>
      <w:r w:rsidRPr="000A393A">
        <w:rPr>
          <w:rFonts w:ascii="Tahoma" w:hAnsi="Tahoma" w:cs="Tahoma"/>
          <w:b w:val="0"/>
          <w:color w:val="auto"/>
          <w:sz w:val="24"/>
          <w:szCs w:val="24"/>
        </w:rPr>
        <w:t>.</w:t>
      </w:r>
      <w:r w:rsidRPr="00CF3B1A">
        <w:rPr>
          <w:rFonts w:ascii="Tahoma" w:hAnsi="Tahoma" w:cs="Tahoma"/>
          <w:b w:val="0"/>
          <w:color w:val="auto"/>
          <w:sz w:val="24"/>
          <w:szCs w:val="24"/>
        </w:rPr>
        <w:t xml:space="preserve"> Topics include how the body reacts to environmental pollutants; physical, chemical, and biological agents of environmental contamination; vectors for dissemination (air, water, soil); solid and hazardous waste; susceptible populations; biomarkers and risk analysis; the scientific basis for policy decisions; and emerging global environmental health problems.</w:t>
      </w:r>
      <w:bookmarkEnd w:id="41"/>
      <w:bookmarkEnd w:id="42"/>
      <w:r w:rsidRPr="00CF3B1A">
        <w:rPr>
          <w:rFonts w:ascii="Tahoma" w:hAnsi="Tahoma" w:cs="Tahoma"/>
          <w:b w:val="0"/>
          <w:color w:val="auto"/>
          <w:sz w:val="24"/>
          <w:szCs w:val="24"/>
        </w:rPr>
        <w:t xml:space="preserve"> </w:t>
      </w:r>
      <w:r w:rsidRPr="000A393A">
        <w:rPr>
          <w:rFonts w:ascii="Tahoma" w:hAnsi="Tahoma" w:cs="Tahoma"/>
          <w:b w:val="0"/>
          <w:color w:val="auto"/>
          <w:sz w:val="24"/>
          <w:szCs w:val="24"/>
        </w:rPr>
        <w:t>(</w:t>
      </w:r>
      <w:r>
        <w:rPr>
          <w:rFonts w:ascii="Tahoma" w:hAnsi="Tahoma" w:cs="Tahoma"/>
          <w:b w:val="0"/>
          <w:color w:val="auto"/>
          <w:sz w:val="24"/>
          <w:szCs w:val="24"/>
        </w:rPr>
        <w:t>12</w:t>
      </w:r>
      <w:r w:rsidRPr="000A393A">
        <w:rPr>
          <w:color w:val="auto"/>
        </w:rPr>
        <w:t xml:space="preserve"> hours)</w:t>
      </w:r>
      <w:bookmarkEnd w:id="43"/>
      <w:bookmarkEnd w:id="44"/>
      <w:bookmarkEnd w:id="45"/>
      <w:bookmarkEnd w:id="46"/>
      <w:bookmarkEnd w:id="47"/>
      <w:bookmarkEnd w:id="48"/>
      <w:bookmarkEnd w:id="49"/>
      <w:bookmarkEnd w:id="50"/>
      <w:bookmarkEnd w:id="51"/>
      <w:bookmarkEnd w:id="52"/>
      <w:bookmarkEnd w:id="53"/>
    </w:p>
    <w:p w:rsidR="00070102" w:rsidRPr="00CF3B1A" w:rsidRDefault="00070102" w:rsidP="00070102"/>
    <w:p w:rsidR="00070102" w:rsidRPr="00CF3B1A" w:rsidRDefault="00070102" w:rsidP="00070102">
      <w:r w:rsidRPr="00CF3B1A">
        <w:t>Human-environment interactions: specifically, environmental factors that influence health i.e. physical, chemical and biological stressors and pollutants that affect the health and wellbeing of individuals and populations. The role of government in environmental health management. Science of environmental health, hazards and pollutants. Air pollution, water, and waste management. Industrial pollution management. Noise, built environments, indoor air and global climate issues.</w:t>
      </w:r>
      <w:r w:rsidRPr="000A393A">
        <w:rPr>
          <w:b/>
        </w:rPr>
        <w:t xml:space="preserve"> </w:t>
      </w:r>
      <w:r w:rsidRPr="000A393A">
        <w:t>(</w:t>
      </w:r>
      <w:r>
        <w:t>12</w:t>
      </w:r>
      <w:r w:rsidRPr="000A393A">
        <w:t xml:space="preserve"> hours)</w:t>
      </w:r>
    </w:p>
    <w:p w:rsidR="00070102" w:rsidRPr="00CF3B1A" w:rsidRDefault="00070102" w:rsidP="00070102"/>
    <w:p w:rsidR="00070102" w:rsidRPr="00CF3B1A" w:rsidRDefault="00070102" w:rsidP="00070102">
      <w:r w:rsidRPr="00CF3B1A">
        <w:t>Hazard identification, dose-response assessment, exposure assessment and risk characterization. Risk assessment and evaluation of hazards; selected examples. Hazard analysis and risk criteria. Principles and conduct of environmental health risk assessments. Concepts of r</w:t>
      </w:r>
      <w:r>
        <w:t xml:space="preserve">isk management. Risk evaluation, </w:t>
      </w:r>
      <w:r w:rsidRPr="00CF3B1A">
        <w:t>Factors affecting perceptions and acceptance of risk. Prevention, control measures and public safety. Uses and limitations of risk assessment and risk management in decision making. Principles of public participation and risk communication.</w:t>
      </w:r>
      <w:r w:rsidRPr="000A393A">
        <w:rPr>
          <w:b/>
        </w:rPr>
        <w:t xml:space="preserve"> (</w:t>
      </w:r>
      <w:r>
        <w:rPr>
          <w:b/>
        </w:rPr>
        <w:t>12</w:t>
      </w:r>
      <w:r w:rsidRPr="000A393A">
        <w:t xml:space="preserve"> hours)</w:t>
      </w:r>
    </w:p>
    <w:p w:rsidR="00070102" w:rsidRPr="00CF3B1A" w:rsidRDefault="00070102" w:rsidP="00070102"/>
    <w:p w:rsidR="00070102" w:rsidRDefault="00070102" w:rsidP="00070102">
      <w:r w:rsidRPr="00CF3B1A">
        <w:t>Occupational health and safety. Liability of the legislation and regulations, and the role of safety policy and organisation. Other topics include equal opportunity laws, workers compensation, common law liability, and specific legal aspects relating to women in the paid workforce.</w:t>
      </w:r>
      <w:r>
        <w:t xml:space="preserve"> </w:t>
      </w:r>
      <w:r w:rsidRPr="000A393A">
        <w:rPr>
          <w:b/>
        </w:rPr>
        <w:t>(</w:t>
      </w:r>
      <w:r>
        <w:t>9</w:t>
      </w:r>
      <w:r w:rsidRPr="000A393A">
        <w:t xml:space="preserve"> hours)</w:t>
      </w:r>
    </w:p>
    <w:p w:rsidR="00070102" w:rsidRPr="00C830D9" w:rsidRDefault="00070102" w:rsidP="00070102"/>
    <w:p w:rsidR="00070102" w:rsidRPr="00B2209F" w:rsidRDefault="00070102" w:rsidP="00070102">
      <w:pPr>
        <w:rPr>
          <w:b/>
        </w:rPr>
      </w:pPr>
      <w:r w:rsidRPr="00B2209F">
        <w:rPr>
          <w:b/>
        </w:rPr>
        <w:t>Basic reading list/references</w:t>
      </w:r>
    </w:p>
    <w:p w:rsidR="00070102" w:rsidRDefault="00070102" w:rsidP="00070102">
      <w:pPr>
        <w:rPr>
          <w:b/>
          <w:bCs/>
        </w:rPr>
      </w:pPr>
    </w:p>
    <w:p w:rsidR="00070102" w:rsidRPr="00936DA7" w:rsidRDefault="00070102" w:rsidP="00070102">
      <w:pPr>
        <w:pStyle w:val="ListParagraph"/>
        <w:numPr>
          <w:ilvl w:val="0"/>
          <w:numId w:val="1"/>
        </w:numPr>
        <w:autoSpaceDE/>
        <w:autoSpaceDN/>
        <w:adjustRightInd/>
        <w:spacing w:after="200"/>
        <w:jc w:val="left"/>
      </w:pPr>
      <w:r w:rsidRPr="00936DA7">
        <w:t>Richard Welford, Editor, 2007, Corporate Environmental Management Systems and Strategies, Earth Scan, 2nd Edition.</w:t>
      </w:r>
    </w:p>
    <w:p w:rsidR="00070102" w:rsidRDefault="00070102" w:rsidP="00070102">
      <w:pPr>
        <w:pStyle w:val="ListParagraph"/>
        <w:numPr>
          <w:ilvl w:val="0"/>
          <w:numId w:val="1"/>
        </w:numPr>
        <w:autoSpaceDE/>
        <w:autoSpaceDN/>
        <w:adjustRightInd/>
        <w:spacing w:after="200"/>
        <w:jc w:val="left"/>
      </w:pPr>
      <w:r>
        <w:lastRenderedPageBreak/>
        <w:t>William Martin, James Walters, Safety and Health Essentials for Small Businesses, Butterworth Heinemann, Updated 2010.</w:t>
      </w:r>
    </w:p>
    <w:p w:rsidR="00070102" w:rsidRDefault="00070102" w:rsidP="00070102">
      <w:pPr>
        <w:pStyle w:val="ListParagraph"/>
        <w:numPr>
          <w:ilvl w:val="0"/>
          <w:numId w:val="1"/>
        </w:numPr>
        <w:autoSpaceDE/>
        <w:autoSpaceDN/>
        <w:adjustRightInd/>
        <w:spacing w:after="200"/>
        <w:jc w:val="left"/>
      </w:pPr>
      <w:r>
        <w:t>Ken Whitelaw, ISO 14001, Environmental Systems Handbook, Butterworth Heinemann, 2004.</w:t>
      </w:r>
    </w:p>
    <w:p w:rsidR="00070102" w:rsidRDefault="00070102" w:rsidP="00070102">
      <w:pPr>
        <w:pStyle w:val="ListParagraph"/>
        <w:numPr>
          <w:ilvl w:val="0"/>
          <w:numId w:val="1"/>
        </w:numPr>
        <w:autoSpaceDE/>
        <w:autoSpaceDN/>
        <w:adjustRightInd/>
        <w:spacing w:after="200"/>
        <w:jc w:val="left"/>
      </w:pPr>
      <w:r>
        <w:t xml:space="preserve">A. Edwards, 2003, ISO 14001, Environmental Certification Step by Step, Butterworth Heinemann. </w:t>
      </w:r>
    </w:p>
    <w:p w:rsidR="00070102" w:rsidRDefault="00070102" w:rsidP="00070102">
      <w:pPr>
        <w:pStyle w:val="ListParagraph"/>
        <w:numPr>
          <w:ilvl w:val="0"/>
          <w:numId w:val="1"/>
        </w:numPr>
        <w:autoSpaceDE/>
        <w:autoSpaceDN/>
        <w:adjustRightInd/>
        <w:spacing w:after="200"/>
        <w:jc w:val="left"/>
      </w:pPr>
      <w:r w:rsidRPr="0081155D">
        <w:t xml:space="preserve">William Martin and James Walters. 2001. </w:t>
      </w:r>
      <w:r w:rsidRPr="00DB1071">
        <w:rPr>
          <w:i/>
        </w:rPr>
        <w:t>Safety and Health Essentials: Compliance for Small Businesses.</w:t>
      </w:r>
      <w:r>
        <w:t xml:space="preserve">  Butterworth and Heinemann.</w:t>
      </w:r>
    </w:p>
    <w:p w:rsidR="00070102" w:rsidRDefault="00070102" w:rsidP="00070102">
      <w:pPr>
        <w:pStyle w:val="ListParagraph"/>
        <w:numPr>
          <w:ilvl w:val="0"/>
          <w:numId w:val="1"/>
        </w:numPr>
        <w:autoSpaceDE/>
        <w:autoSpaceDN/>
        <w:adjustRightInd/>
        <w:spacing w:after="200"/>
        <w:jc w:val="left"/>
      </w:pPr>
      <w:r w:rsidRPr="0081155D">
        <w:t xml:space="preserve">James Roughton and James Mercurio. </w:t>
      </w:r>
      <w:r>
        <w:t xml:space="preserve">2002. </w:t>
      </w:r>
      <w:r w:rsidRPr="00DB1071">
        <w:rPr>
          <w:i/>
        </w:rPr>
        <w:t>Developing an Effective Safety Culture: A Leadership Approach.</w:t>
      </w:r>
      <w:r>
        <w:t xml:space="preserve"> Butterworth and Heinemann. </w:t>
      </w:r>
    </w:p>
    <w:p w:rsidR="00070102" w:rsidRDefault="00070102" w:rsidP="00070102">
      <w:pPr>
        <w:pStyle w:val="ListParagraph"/>
        <w:numPr>
          <w:ilvl w:val="0"/>
          <w:numId w:val="1"/>
        </w:numPr>
        <w:autoSpaceDE/>
        <w:autoSpaceDN/>
        <w:adjustRightInd/>
        <w:spacing w:after="200"/>
        <w:jc w:val="left"/>
      </w:pPr>
      <w:r>
        <w:t xml:space="preserve"> Sarkis, Joseph; Cordeiro, James J.; Vazquez Brust, Diego (Eds.). 2010. </w:t>
      </w:r>
      <w:r w:rsidRPr="00DB1071">
        <w:rPr>
          <w:i/>
        </w:rPr>
        <w:t xml:space="preserve">Facilitating Sustainable </w:t>
      </w:r>
      <w:r w:rsidRPr="00DB1071">
        <w:rPr>
          <w:rStyle w:val="highlight0"/>
          <w:i/>
        </w:rPr>
        <w:t>Innovation</w:t>
      </w:r>
      <w:r w:rsidRPr="00DB1071">
        <w:rPr>
          <w:i/>
        </w:rPr>
        <w:t xml:space="preserve"> through Collaboration: A Multi-Stakeholder Perspective.</w:t>
      </w:r>
      <w:r>
        <w:t xml:space="preserve"> Springer</w:t>
      </w:r>
    </w:p>
    <w:p w:rsidR="00070102" w:rsidRDefault="00070102" w:rsidP="00070102">
      <w:pPr>
        <w:pStyle w:val="ListParagraph"/>
        <w:numPr>
          <w:ilvl w:val="0"/>
          <w:numId w:val="1"/>
        </w:numPr>
        <w:autoSpaceDE/>
        <w:autoSpaceDN/>
        <w:adjustRightInd/>
        <w:spacing w:after="200"/>
        <w:jc w:val="left"/>
      </w:pPr>
      <w:r w:rsidRPr="00DB1071">
        <w:rPr>
          <w:rStyle w:val="Strong"/>
          <w:b w:val="0"/>
        </w:rPr>
        <w:t>Krozer, Yoram.</w:t>
      </w:r>
      <w:r>
        <w:rPr>
          <w:rStyle w:val="highlight0"/>
        </w:rPr>
        <w:t xml:space="preserve"> 2008. </w:t>
      </w:r>
      <w:r w:rsidRPr="00534D57">
        <w:rPr>
          <w:rStyle w:val="highlight0"/>
          <w:i/>
        </w:rPr>
        <w:t>Innovations</w:t>
      </w:r>
      <w:r w:rsidRPr="00534D57">
        <w:rPr>
          <w:i/>
        </w:rPr>
        <w:t xml:space="preserve"> and the Environment</w:t>
      </w:r>
      <w:r>
        <w:t xml:space="preserve">. Springer </w:t>
      </w:r>
    </w:p>
    <w:p w:rsidR="00070102" w:rsidRDefault="00070102" w:rsidP="00070102">
      <w:pPr>
        <w:pStyle w:val="ListParagraph"/>
        <w:autoSpaceDE/>
        <w:autoSpaceDN/>
        <w:adjustRightInd/>
        <w:spacing w:after="200"/>
        <w:jc w:val="left"/>
      </w:pPr>
    </w:p>
    <w:p w:rsidR="00070102" w:rsidRDefault="00070102" w:rsidP="00070102">
      <w:pPr>
        <w:pStyle w:val="ListParagraph"/>
        <w:autoSpaceDE/>
        <w:autoSpaceDN/>
        <w:adjustRightInd/>
        <w:spacing w:after="200"/>
        <w:jc w:val="left"/>
      </w:pPr>
    </w:p>
    <w:p w:rsidR="0079132E" w:rsidRDefault="0079132E">
      <w:bookmarkStart w:id="54" w:name="_GoBack"/>
      <w:bookmarkEnd w:id="54"/>
    </w:p>
    <w:sectPr w:rsidR="0079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E96"/>
    <w:multiLevelType w:val="hybridMultilevel"/>
    <w:tmpl w:val="BDCAA5EC"/>
    <w:lvl w:ilvl="0" w:tplc="B9AE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E40BB"/>
    <w:multiLevelType w:val="hybridMultilevel"/>
    <w:tmpl w:val="FED6EB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02"/>
    <w:rsid w:val="00070102"/>
    <w:rsid w:val="0079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02"/>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070102"/>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70102"/>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0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70102"/>
    <w:rPr>
      <w:rFonts w:ascii="Cambria" w:eastAsia="Times New Roman" w:hAnsi="Cambria" w:cs="Times New Roman"/>
      <w:b/>
      <w:bCs/>
      <w:color w:val="4F81BD"/>
      <w:sz w:val="26"/>
      <w:szCs w:val="26"/>
    </w:rPr>
  </w:style>
  <w:style w:type="paragraph" w:styleId="ListParagraph">
    <w:name w:val="List Paragraph"/>
    <w:basedOn w:val="Normal"/>
    <w:uiPriority w:val="34"/>
    <w:qFormat/>
    <w:rsid w:val="00070102"/>
    <w:pPr>
      <w:ind w:left="720"/>
      <w:contextualSpacing/>
    </w:pPr>
  </w:style>
  <w:style w:type="character" w:styleId="Strong">
    <w:name w:val="Strong"/>
    <w:basedOn w:val="DefaultParagraphFont"/>
    <w:uiPriority w:val="22"/>
    <w:qFormat/>
    <w:rsid w:val="00070102"/>
    <w:rPr>
      <w:b/>
      <w:bCs/>
    </w:rPr>
  </w:style>
  <w:style w:type="character" w:customStyle="1" w:styleId="highlight0">
    <w:name w:val="highlight0"/>
    <w:basedOn w:val="DefaultParagraphFont"/>
    <w:rsid w:val="00070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02"/>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070102"/>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70102"/>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0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70102"/>
    <w:rPr>
      <w:rFonts w:ascii="Cambria" w:eastAsia="Times New Roman" w:hAnsi="Cambria" w:cs="Times New Roman"/>
      <w:b/>
      <w:bCs/>
      <w:color w:val="4F81BD"/>
      <w:sz w:val="26"/>
      <w:szCs w:val="26"/>
    </w:rPr>
  </w:style>
  <w:style w:type="paragraph" w:styleId="ListParagraph">
    <w:name w:val="List Paragraph"/>
    <w:basedOn w:val="Normal"/>
    <w:uiPriority w:val="34"/>
    <w:qFormat/>
    <w:rsid w:val="00070102"/>
    <w:pPr>
      <w:ind w:left="720"/>
      <w:contextualSpacing/>
    </w:pPr>
  </w:style>
  <w:style w:type="character" w:styleId="Strong">
    <w:name w:val="Strong"/>
    <w:basedOn w:val="DefaultParagraphFont"/>
    <w:uiPriority w:val="22"/>
    <w:qFormat/>
    <w:rsid w:val="00070102"/>
    <w:rPr>
      <w:b/>
      <w:bCs/>
    </w:rPr>
  </w:style>
  <w:style w:type="character" w:customStyle="1" w:styleId="highlight0">
    <w:name w:val="highlight0"/>
    <w:basedOn w:val="DefaultParagraphFont"/>
    <w:rsid w:val="0007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2014-08-16T04:30:00Z</dcterms:created>
  <dcterms:modified xsi:type="dcterms:W3CDTF">2014-08-16T04:30:00Z</dcterms:modified>
</cp:coreProperties>
</file>