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4968"/>
      </w:tblGrid>
      <w:tr w:rsidR="00F8545C" w:rsidTr="00844D49">
        <w:tc>
          <w:tcPr>
            <w:tcW w:w="3888" w:type="dxa"/>
          </w:tcPr>
          <w:p w:rsidR="00F8545C" w:rsidRDefault="00F8545C" w:rsidP="00C550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TOU 3122 Food and Beverage Management II</w:t>
            </w:r>
          </w:p>
        </w:tc>
        <w:tc>
          <w:tcPr>
            <w:tcW w:w="4968" w:type="dxa"/>
          </w:tcPr>
          <w:p w:rsidR="00F8545C" w:rsidRDefault="00F8545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Course Title: </w:t>
            </w:r>
          </w:p>
          <w:p w:rsidR="00F8545C" w:rsidRDefault="00F8545C" w:rsidP="00844D49">
            <w:pPr>
              <w:jc w:val="both"/>
              <w:rPr>
                <w:b/>
              </w:rPr>
            </w:pPr>
          </w:p>
        </w:tc>
      </w:tr>
      <w:tr w:rsidR="00F8545C" w:rsidTr="00844D49">
        <w:tc>
          <w:tcPr>
            <w:tcW w:w="8856" w:type="dxa"/>
            <w:gridSpan w:val="2"/>
          </w:tcPr>
          <w:p w:rsidR="00F8545C" w:rsidRDefault="00F8545C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Description:</w:t>
            </w:r>
          </w:p>
          <w:p w:rsidR="00F8545C" w:rsidRDefault="00F8545C" w:rsidP="00844D49">
            <w:pPr>
              <w:jc w:val="both"/>
            </w:pPr>
            <w:r>
              <w:rPr>
                <w:sz w:val="22"/>
                <w:szCs w:val="22"/>
              </w:rPr>
              <w:t xml:space="preserve">Course builds on the knowledge acquired in Food and beverages management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>. It provides more practical and hands on experience in food and beverages operational controls, menu design costing and management</w:t>
            </w:r>
          </w:p>
        </w:tc>
      </w:tr>
      <w:tr w:rsidR="00F8545C" w:rsidTr="00844D49">
        <w:tc>
          <w:tcPr>
            <w:tcW w:w="8856" w:type="dxa"/>
            <w:gridSpan w:val="2"/>
          </w:tcPr>
          <w:p w:rsidR="00F8545C" w:rsidRDefault="00F8545C" w:rsidP="00844D49">
            <w:pPr>
              <w:pStyle w:val="Subtitl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Course Objectives:</w:t>
            </w:r>
          </w:p>
          <w:p w:rsidR="00F8545C" w:rsidRDefault="00F8545C" w:rsidP="00F8545C">
            <w:pPr>
              <w:numPr>
                <w:ilvl w:val="0"/>
                <w:numId w:val="5"/>
              </w:numPr>
              <w:ind w:left="720"/>
              <w:rPr>
                <w:bCs/>
              </w:rPr>
            </w:pPr>
            <w:r>
              <w:rPr>
                <w:bCs/>
                <w:sz w:val="22"/>
                <w:szCs w:val="22"/>
              </w:rPr>
              <w:t>Knowledge on food perchance cycle function Menu management systems</w:t>
            </w:r>
          </w:p>
          <w:p w:rsidR="00F8545C" w:rsidRDefault="00F8545C" w:rsidP="00F8545C">
            <w:pPr>
              <w:numPr>
                <w:ilvl w:val="0"/>
                <w:numId w:val="5"/>
              </w:numPr>
              <w:ind w:left="720"/>
              <w:rPr>
                <w:bCs/>
              </w:rPr>
            </w:pPr>
            <w:r>
              <w:rPr>
                <w:bCs/>
                <w:sz w:val="22"/>
                <w:szCs w:val="22"/>
              </w:rPr>
              <w:t>Knowledge on food and beverage standard procedures used in accommodation systems</w:t>
            </w:r>
          </w:p>
          <w:p w:rsidR="00F8545C" w:rsidRDefault="00F8545C" w:rsidP="00F8545C">
            <w:pPr>
              <w:numPr>
                <w:ilvl w:val="0"/>
                <w:numId w:val="5"/>
              </w:numPr>
              <w:ind w:left="720"/>
              <w:rPr>
                <w:bCs/>
              </w:rPr>
            </w:pPr>
            <w:r>
              <w:rPr>
                <w:bCs/>
                <w:sz w:val="22"/>
                <w:szCs w:val="22"/>
              </w:rPr>
              <w:t>Understand food and beverage income statements and spread sheets</w:t>
            </w:r>
          </w:p>
          <w:p w:rsidR="00F8545C" w:rsidRDefault="00F8545C" w:rsidP="00F8545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rPr>
                <w:b/>
              </w:rPr>
            </w:pPr>
            <w:r>
              <w:rPr>
                <w:bCs/>
                <w:sz w:val="22"/>
                <w:szCs w:val="22"/>
              </w:rPr>
              <w:t>Apply technologies in food and beverage operations</w:t>
            </w:r>
          </w:p>
        </w:tc>
      </w:tr>
      <w:tr w:rsidR="00F8545C" w:rsidTr="00844D49">
        <w:tc>
          <w:tcPr>
            <w:tcW w:w="8856" w:type="dxa"/>
            <w:gridSpan w:val="2"/>
          </w:tcPr>
          <w:p w:rsidR="00F8545C" w:rsidRDefault="00F8545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Course Outline:</w:t>
            </w:r>
          </w:p>
          <w:p w:rsidR="00F8545C" w:rsidRDefault="00F8545C" w:rsidP="00F8545C">
            <w:pPr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>Food production systems</w:t>
            </w:r>
          </w:p>
          <w:p w:rsidR="00F8545C" w:rsidRDefault="00F8545C" w:rsidP="00F8545C">
            <w:pPr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>Food and beverage pairing and sensory evaluation</w:t>
            </w:r>
          </w:p>
          <w:p w:rsidR="00F8545C" w:rsidRDefault="00F8545C" w:rsidP="00F8545C">
            <w:pPr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 xml:space="preserve">Quality and management of food and beverage operations </w:t>
            </w:r>
          </w:p>
          <w:p w:rsidR="00F8545C" w:rsidRDefault="00F8545C" w:rsidP="00F8545C">
            <w:pPr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 xml:space="preserve">Menu planning and management </w:t>
            </w:r>
          </w:p>
          <w:p w:rsidR="00F8545C" w:rsidRDefault="00F8545C" w:rsidP="00F8545C">
            <w:pPr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 xml:space="preserve">Staffing in food and beverage operations </w:t>
            </w:r>
          </w:p>
          <w:p w:rsidR="00F8545C" w:rsidRDefault="00F8545C" w:rsidP="00F8545C">
            <w:pPr>
              <w:numPr>
                <w:ilvl w:val="0"/>
                <w:numId w:val="7"/>
              </w:numPr>
              <w:jc w:val="both"/>
            </w:pPr>
            <w:r>
              <w:rPr>
                <w:sz w:val="22"/>
                <w:szCs w:val="22"/>
              </w:rPr>
              <w:t>Health and safety</w:t>
            </w:r>
          </w:p>
          <w:p w:rsidR="00F8545C" w:rsidRDefault="00F8545C" w:rsidP="00F8545C">
            <w:pPr>
              <w:numPr>
                <w:ilvl w:val="0"/>
                <w:numId w:val="6"/>
              </w:numPr>
              <w:jc w:val="both"/>
            </w:pPr>
            <w:r>
              <w:rPr>
                <w:sz w:val="22"/>
                <w:szCs w:val="22"/>
              </w:rPr>
              <w:t xml:space="preserve">Food and beverage service: managing volume, sales and merchandising </w:t>
            </w:r>
          </w:p>
          <w:p w:rsidR="00F8545C" w:rsidRDefault="00F8545C" w:rsidP="00F8545C">
            <w:pPr>
              <w:numPr>
                <w:ilvl w:val="0"/>
                <w:numId w:val="6"/>
              </w:numPr>
              <w:jc w:val="both"/>
            </w:pPr>
            <w:r>
              <w:rPr>
                <w:sz w:val="22"/>
                <w:szCs w:val="22"/>
              </w:rPr>
              <w:t xml:space="preserve">Income statements and spread sheets for foods and beverages </w:t>
            </w:r>
          </w:p>
          <w:p w:rsidR="00F8545C" w:rsidRDefault="00F8545C" w:rsidP="00F8545C">
            <w:pPr>
              <w:numPr>
                <w:ilvl w:val="0"/>
                <w:numId w:val="6"/>
              </w:numPr>
              <w:jc w:val="both"/>
            </w:pPr>
            <w:r>
              <w:rPr>
                <w:sz w:val="22"/>
                <w:szCs w:val="22"/>
              </w:rPr>
              <w:t xml:space="preserve">Food and beverage operations performance appraisal and strategy </w:t>
            </w:r>
          </w:p>
          <w:p w:rsidR="00F8545C" w:rsidRDefault="00F8545C" w:rsidP="00F8545C">
            <w:pPr>
              <w:numPr>
                <w:ilvl w:val="0"/>
                <w:numId w:val="6"/>
              </w:numPr>
              <w:jc w:val="both"/>
            </w:pPr>
            <w:r>
              <w:rPr>
                <w:sz w:val="22"/>
                <w:szCs w:val="22"/>
              </w:rPr>
              <w:t>Food and beverage practicum</w:t>
            </w:r>
          </w:p>
        </w:tc>
      </w:tr>
      <w:tr w:rsidR="00F8545C" w:rsidTr="00844D49">
        <w:tc>
          <w:tcPr>
            <w:tcW w:w="8856" w:type="dxa"/>
            <w:gridSpan w:val="2"/>
          </w:tcPr>
          <w:p w:rsidR="00F8545C" w:rsidRDefault="00F8545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Learning Outcomes:</w:t>
            </w:r>
          </w:p>
          <w:p w:rsidR="00F8545C" w:rsidRDefault="00F8545C" w:rsidP="00F8545C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Learn new knowledge in Food and beverages control</w:t>
            </w:r>
          </w:p>
          <w:p w:rsidR="00F8545C" w:rsidRDefault="00F8545C" w:rsidP="00F8545C">
            <w:pPr>
              <w:numPr>
                <w:ilvl w:val="0"/>
                <w:numId w:val="4"/>
              </w:numPr>
            </w:pPr>
            <w:r>
              <w:rPr>
                <w:sz w:val="22"/>
                <w:szCs w:val="22"/>
              </w:rPr>
              <w:t>Learn skills in beverage costing and menu management</w:t>
            </w:r>
          </w:p>
        </w:tc>
      </w:tr>
      <w:tr w:rsidR="00F8545C" w:rsidTr="00844D49">
        <w:trPr>
          <w:trHeight w:val="647"/>
        </w:trPr>
        <w:tc>
          <w:tcPr>
            <w:tcW w:w="3888" w:type="dxa"/>
          </w:tcPr>
          <w:p w:rsidR="00F8545C" w:rsidRDefault="00F8545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Method of Teaching/Delivery:</w:t>
            </w:r>
          </w:p>
          <w:p w:rsidR="00F8545C" w:rsidRDefault="00F8545C" w:rsidP="00844D49">
            <w:pPr>
              <w:jc w:val="both"/>
            </w:pPr>
            <w:r>
              <w:rPr>
                <w:sz w:val="22"/>
                <w:szCs w:val="22"/>
              </w:rPr>
              <w:t>Lecture Hours   – 30</w:t>
            </w:r>
          </w:p>
          <w:p w:rsidR="00F8545C" w:rsidRDefault="00F8545C" w:rsidP="00844D49">
            <w:pPr>
              <w:jc w:val="both"/>
            </w:pPr>
            <w:r>
              <w:rPr>
                <w:sz w:val="22"/>
                <w:szCs w:val="22"/>
              </w:rPr>
              <w:t>Practical Hours – 40</w:t>
            </w:r>
          </w:p>
          <w:p w:rsidR="00F8545C" w:rsidRDefault="00F8545C" w:rsidP="00844D49">
            <w:pPr>
              <w:jc w:val="both"/>
            </w:pPr>
            <w:r>
              <w:rPr>
                <w:sz w:val="22"/>
                <w:szCs w:val="22"/>
              </w:rPr>
              <w:t>Tutorial Hours -  30</w:t>
            </w:r>
          </w:p>
          <w:p w:rsidR="00F8545C" w:rsidRDefault="00F8545C" w:rsidP="00844D49">
            <w:pPr>
              <w:jc w:val="both"/>
            </w:pPr>
          </w:p>
        </w:tc>
        <w:tc>
          <w:tcPr>
            <w:tcW w:w="4968" w:type="dxa"/>
          </w:tcPr>
          <w:p w:rsidR="00F8545C" w:rsidRDefault="00F8545C" w:rsidP="00844D4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Mode of Assessment:</w:t>
            </w:r>
          </w:p>
          <w:p w:rsidR="00F8545C" w:rsidRDefault="00F8545C" w:rsidP="00F8545C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Course Work</w:t>
            </w:r>
          </w:p>
          <w:p w:rsidR="00F8545C" w:rsidRDefault="00F8545C" w:rsidP="00F8545C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Practical</w:t>
            </w:r>
          </w:p>
          <w:p w:rsidR="00F8545C" w:rsidRDefault="00F8545C" w:rsidP="00F8545C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Final written Exam</w:t>
            </w:r>
          </w:p>
        </w:tc>
      </w:tr>
      <w:tr w:rsidR="00F8545C" w:rsidTr="00844D49">
        <w:trPr>
          <w:trHeight w:val="647"/>
        </w:trPr>
        <w:tc>
          <w:tcPr>
            <w:tcW w:w="8856" w:type="dxa"/>
            <w:gridSpan w:val="2"/>
          </w:tcPr>
          <w:p w:rsidR="00F8545C" w:rsidRDefault="00F8545C" w:rsidP="00844D4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Reading/Reference Materials</w:t>
            </w:r>
          </w:p>
          <w:p w:rsidR="00F8545C" w:rsidRPr="00C5505F" w:rsidRDefault="00F8545C" w:rsidP="00C5505F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C5505F">
              <w:rPr>
                <w:rFonts w:eastAsia="Calibri"/>
                <w:bCs/>
                <w:sz w:val="22"/>
                <w:szCs w:val="22"/>
              </w:rPr>
              <w:t>Cousins, J David Foskett and Cailein Gillespie (2002). Food and Beverage Management 2nd Edition</w:t>
            </w:r>
          </w:p>
          <w:p w:rsidR="00F8545C" w:rsidRDefault="00F8545C" w:rsidP="00F8545C">
            <w:pPr>
              <w:numPr>
                <w:ilvl w:val="0"/>
                <w:numId w:val="3"/>
              </w:numPr>
              <w:tabs>
                <w:tab w:val="clear" w:pos="720"/>
              </w:tabs>
            </w:pPr>
            <w:r>
              <w:rPr>
                <w:sz w:val="22"/>
                <w:szCs w:val="22"/>
              </w:rPr>
              <w:t>Davis, B, Lockwood, A and Stone, S (1998) Food and Beverage Management</w:t>
            </w:r>
          </w:p>
          <w:p w:rsidR="00F8545C" w:rsidRDefault="00F8545C" w:rsidP="00F8545C">
            <w:pPr>
              <w:numPr>
                <w:ilvl w:val="0"/>
                <w:numId w:val="3"/>
              </w:numPr>
              <w:tabs>
                <w:tab w:val="clear" w:pos="720"/>
              </w:tabs>
            </w:pPr>
            <w:r>
              <w:rPr>
                <w:sz w:val="22"/>
                <w:szCs w:val="22"/>
              </w:rPr>
              <w:t>Dopson L (2010) Food and Beverage Cost Control</w:t>
            </w:r>
          </w:p>
          <w:p w:rsidR="00F8545C" w:rsidRDefault="00F8545C" w:rsidP="00F8545C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b/>
              </w:rPr>
            </w:pPr>
            <w:r>
              <w:rPr>
                <w:sz w:val="22"/>
                <w:szCs w:val="22"/>
              </w:rPr>
              <w:t>Wood R (2000) Strategic Questions in food and Beverage Management</w:t>
            </w:r>
          </w:p>
        </w:tc>
      </w:tr>
    </w:tbl>
    <w:p w:rsidR="00F8545C" w:rsidRDefault="00F8545C" w:rsidP="00F8545C">
      <w:pPr>
        <w:rPr>
          <w:b/>
          <w:sz w:val="22"/>
          <w:szCs w:val="22"/>
        </w:rPr>
      </w:pPr>
    </w:p>
    <w:p w:rsidR="00F8545C" w:rsidRDefault="00C5505F" w:rsidP="00F8545C">
      <w:pPr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p w:rsidR="001C3396" w:rsidRDefault="001C3396">
      <w:bookmarkStart w:id="0" w:name="_GoBack"/>
      <w:bookmarkEnd w:id="0"/>
    </w:p>
    <w:sectPr w:rsidR="001C3396" w:rsidSect="004D3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569"/>
    <w:multiLevelType w:val="hybridMultilevel"/>
    <w:tmpl w:val="F4D8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07786"/>
    <w:multiLevelType w:val="hybridMultilevel"/>
    <w:tmpl w:val="2F262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275CAC"/>
    <w:multiLevelType w:val="hybridMultilevel"/>
    <w:tmpl w:val="D38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92262"/>
    <w:multiLevelType w:val="hybridMultilevel"/>
    <w:tmpl w:val="6400B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8570EE"/>
    <w:multiLevelType w:val="hybridMultilevel"/>
    <w:tmpl w:val="DB2A5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1AD4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492E4D"/>
    <w:multiLevelType w:val="hybridMultilevel"/>
    <w:tmpl w:val="56824284"/>
    <w:lvl w:ilvl="0" w:tplc="2B1AD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BD4779"/>
    <w:multiLevelType w:val="hybridMultilevel"/>
    <w:tmpl w:val="F98E7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E245BD"/>
    <w:multiLevelType w:val="hybridMultilevel"/>
    <w:tmpl w:val="285CD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8545C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36FC6"/>
    <w:rsid w:val="004D3912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5505F"/>
    <w:rsid w:val="00C8049C"/>
    <w:rsid w:val="00C97EFF"/>
    <w:rsid w:val="00DA14BD"/>
    <w:rsid w:val="00DA19F4"/>
    <w:rsid w:val="00F8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8545C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F8545C"/>
    <w:rPr>
      <w:rFonts w:ascii="Arial Black" w:eastAsia="Times New Roman" w:hAnsi="Arial Black" w:cs="Times New Roman"/>
      <w:b/>
      <w:sz w:val="3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55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8545C"/>
    <w:rPr>
      <w:rFonts w:ascii="Arial Black" w:hAnsi="Arial Black"/>
      <w:b/>
      <w:sz w:val="36"/>
    </w:rPr>
  </w:style>
  <w:style w:type="character" w:customStyle="1" w:styleId="SubtitleChar">
    <w:name w:val="Subtitle Char"/>
    <w:basedOn w:val="DefaultParagraphFont"/>
    <w:link w:val="Subtitle"/>
    <w:rsid w:val="00F8545C"/>
    <w:rPr>
      <w:rFonts w:ascii="Arial Black" w:eastAsia="Times New Roman" w:hAnsi="Arial Black" w:cs="Times New Roman"/>
      <w:b/>
      <w:sz w:val="36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2011-07-23T13:34:00Z</dcterms:created>
  <dcterms:modified xsi:type="dcterms:W3CDTF">2014-06-20T01:35:00Z</dcterms:modified>
</cp:coreProperties>
</file>